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A6070" w14:textId="6D4A3FB0" w:rsidR="00D13817" w:rsidRPr="00D3394E" w:rsidRDefault="00D13817" w:rsidP="00F61D33">
      <w:pPr>
        <w:spacing w:after="0" w:line="360" w:lineRule="auto"/>
        <w:jc w:val="center"/>
        <w:rPr>
          <w:rFonts w:ascii="Times New Roman" w:hAnsi="Times New Roman" w:cs="Times New Roman"/>
          <w:b/>
        </w:rPr>
      </w:pP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t>2. számú melléklet</w:t>
      </w:r>
    </w:p>
    <w:p w14:paraId="4193F7DA" w14:textId="77777777" w:rsidR="00D13817" w:rsidRPr="00D3394E" w:rsidRDefault="00D13817" w:rsidP="00434F11">
      <w:pPr>
        <w:spacing w:after="0" w:line="240" w:lineRule="auto"/>
        <w:jc w:val="center"/>
        <w:rPr>
          <w:rFonts w:ascii="Times New Roman" w:hAnsi="Times New Roman" w:cs="Times New Roman"/>
          <w:b/>
          <w:sz w:val="25"/>
          <w:szCs w:val="25"/>
        </w:rPr>
      </w:pPr>
    </w:p>
    <w:p w14:paraId="0AC0A7D1" w14:textId="1ECE7A1A" w:rsidR="00A26ED9" w:rsidRPr="00D3394E" w:rsidRDefault="00356309" w:rsidP="00434F11">
      <w:pPr>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EGYSÉGES SZABÁLYZAT</w:t>
      </w:r>
    </w:p>
    <w:p w14:paraId="54797762" w14:textId="77777777" w:rsidR="002E117A" w:rsidRPr="00D3394E"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3394E" w:rsidRDefault="002E117A" w:rsidP="002E117A">
      <w:pPr>
        <w:spacing w:after="0" w:line="240" w:lineRule="auto"/>
        <w:jc w:val="both"/>
        <w:rPr>
          <w:rFonts w:ascii="Times New Roman" w:hAnsi="Times New Roman" w:cs="Times New Roman"/>
          <w:b/>
          <w:sz w:val="25"/>
          <w:szCs w:val="25"/>
        </w:rPr>
      </w:pPr>
      <w:r w:rsidRPr="00D3394E">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3394E" w:rsidRDefault="00356309" w:rsidP="00434F11">
      <w:pPr>
        <w:spacing w:after="0" w:line="240" w:lineRule="auto"/>
        <w:jc w:val="both"/>
        <w:rPr>
          <w:rFonts w:ascii="Times New Roman" w:hAnsi="Times New Roman" w:cs="Times New Roman"/>
          <w:b/>
          <w:sz w:val="25"/>
          <w:szCs w:val="25"/>
        </w:rPr>
      </w:pPr>
    </w:p>
    <w:p w14:paraId="2BE34B3F" w14:textId="77777777" w:rsidR="007313CC" w:rsidRPr="00D3394E" w:rsidRDefault="002E117A"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3394E">
        <w:rPr>
          <w:rFonts w:ascii="Times New Roman" w:hAnsi="Times New Roman" w:cs="Times New Roman"/>
          <w:iCs/>
          <w:sz w:val="25"/>
          <w:szCs w:val="25"/>
        </w:rPr>
        <w:t xml:space="preserve">et </w:t>
      </w:r>
      <w:r w:rsidR="00B43B3E" w:rsidRPr="00D3394E">
        <w:rPr>
          <w:rFonts w:ascii="Times New Roman" w:hAnsi="Times New Roman" w:cs="Times New Roman"/>
          <w:iCs/>
          <w:sz w:val="25"/>
          <w:szCs w:val="25"/>
        </w:rPr>
        <w:t>önállóan</w:t>
      </w:r>
      <w:r w:rsidR="00A464A5" w:rsidRPr="00D3394E">
        <w:rPr>
          <w:rFonts w:ascii="Times New Roman" w:hAnsi="Times New Roman" w:cs="Times New Roman"/>
          <w:iCs/>
          <w:sz w:val="25"/>
          <w:szCs w:val="25"/>
        </w:rPr>
        <w:t xml:space="preserve"> (saját nevébe</w:t>
      </w:r>
      <w:r w:rsidR="00B43B3E" w:rsidRPr="00D3394E">
        <w:rPr>
          <w:rFonts w:ascii="Times New Roman" w:hAnsi="Times New Roman" w:cs="Times New Roman"/>
          <w:iCs/>
          <w:sz w:val="25"/>
          <w:szCs w:val="25"/>
        </w:rPr>
        <w:t>n</w:t>
      </w:r>
      <w:r w:rsidR="00A464A5" w:rsidRPr="00D3394E">
        <w:rPr>
          <w:rFonts w:ascii="Times New Roman" w:hAnsi="Times New Roman" w:cs="Times New Roman"/>
          <w:iCs/>
          <w:sz w:val="25"/>
          <w:szCs w:val="25"/>
        </w:rPr>
        <w:t xml:space="preserve"> és kockázatára) </w:t>
      </w:r>
      <w:r w:rsidRPr="00D3394E">
        <w:rPr>
          <w:rFonts w:ascii="Times New Roman" w:hAnsi="Times New Roman" w:cs="Times New Roman"/>
          <w:iCs/>
          <w:sz w:val="25"/>
          <w:szCs w:val="25"/>
        </w:rPr>
        <w:t xml:space="preserve">végző </w:t>
      </w:r>
      <w:r w:rsidR="00A464A5" w:rsidRPr="00D3394E">
        <w:rPr>
          <w:rFonts w:ascii="Times New Roman" w:hAnsi="Times New Roman" w:cs="Times New Roman"/>
          <w:iCs/>
          <w:sz w:val="25"/>
          <w:szCs w:val="25"/>
        </w:rPr>
        <w:t xml:space="preserve">kamarai tag könyvvizsgálók, könyvvizsgáló cégek (a továbbiakban: </w:t>
      </w:r>
      <w:r w:rsidR="005F4579" w:rsidRPr="00D3394E">
        <w:rPr>
          <w:rFonts w:ascii="Times New Roman" w:hAnsi="Times New Roman" w:cs="Times New Roman"/>
          <w:iCs/>
          <w:sz w:val="25"/>
          <w:szCs w:val="25"/>
        </w:rPr>
        <w:t xml:space="preserve">könyvvizsgáló </w:t>
      </w:r>
      <w:r w:rsidR="00A464A5" w:rsidRPr="00D3394E">
        <w:rPr>
          <w:rFonts w:ascii="Times New Roman" w:hAnsi="Times New Roman" w:cs="Times New Roman"/>
          <w:iCs/>
          <w:sz w:val="25"/>
          <w:szCs w:val="25"/>
        </w:rPr>
        <w:t xml:space="preserve">szolgáltató) </w:t>
      </w:r>
      <w:r w:rsidR="00B43B3E" w:rsidRPr="00D3394E">
        <w:rPr>
          <w:rFonts w:ascii="Times New Roman" w:hAnsi="Times New Roman" w:cs="Times New Roman"/>
          <w:iCs/>
          <w:sz w:val="25"/>
          <w:szCs w:val="25"/>
        </w:rPr>
        <w:t xml:space="preserve">számára </w:t>
      </w:r>
      <w:r w:rsidR="004F1086" w:rsidRPr="00D3394E">
        <w:rPr>
          <w:rFonts w:ascii="Times New Roman" w:hAnsi="Times New Roman" w:cs="Times New Roman"/>
          <w:iCs/>
          <w:sz w:val="25"/>
          <w:szCs w:val="25"/>
        </w:rPr>
        <w:t xml:space="preserve">előző tevékenységük vonatkozásában </w:t>
      </w:r>
      <w:r w:rsidRPr="00D3394E">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3394E">
        <w:rPr>
          <w:rFonts w:ascii="Times New Roman" w:hAnsi="Times New Roman" w:cs="Times New Roman"/>
          <w:iCs/>
          <w:sz w:val="25"/>
          <w:szCs w:val="25"/>
        </w:rPr>
        <w:t xml:space="preserve">(a továbbiakban: Kkt.) </w:t>
      </w:r>
      <w:r w:rsidRPr="00D3394E">
        <w:rPr>
          <w:rFonts w:ascii="Times New Roman" w:hAnsi="Times New Roman" w:cs="Times New Roman"/>
          <w:iCs/>
          <w:sz w:val="25"/>
          <w:szCs w:val="25"/>
        </w:rPr>
        <w:t>4. § (8) bekezdése alapján a Pmt., valamint a Kit. szer</w:t>
      </w:r>
      <w:r w:rsidR="00B43B3E" w:rsidRPr="00D3394E">
        <w:rPr>
          <w:rFonts w:ascii="Times New Roman" w:hAnsi="Times New Roman" w:cs="Times New Roman"/>
          <w:iCs/>
          <w:sz w:val="25"/>
          <w:szCs w:val="25"/>
        </w:rPr>
        <w:t>inti, kötelező jellegű útmutató</w:t>
      </w:r>
      <w:r w:rsidR="00C37630" w:rsidRPr="00D3394E">
        <w:rPr>
          <w:rFonts w:ascii="Times New Roman" w:hAnsi="Times New Roman" w:cs="Times New Roman"/>
          <w:iCs/>
          <w:sz w:val="25"/>
          <w:szCs w:val="25"/>
        </w:rPr>
        <w:t xml:space="preserve"> (a továbbiakban: útmutató)</w:t>
      </w:r>
      <w:r w:rsidR="00B43B3E" w:rsidRPr="00D3394E">
        <w:rPr>
          <w:rFonts w:ascii="Times New Roman" w:hAnsi="Times New Roman" w:cs="Times New Roman"/>
          <w:iCs/>
          <w:sz w:val="25"/>
          <w:szCs w:val="25"/>
        </w:rPr>
        <w:t xml:space="preserve"> részeként a jelen egységes szabályzatot adja ki, melyet a </w:t>
      </w:r>
      <w:r w:rsidR="005F4579" w:rsidRPr="00D3394E">
        <w:rPr>
          <w:rFonts w:ascii="Times New Roman" w:hAnsi="Times New Roman" w:cs="Times New Roman"/>
          <w:iCs/>
          <w:sz w:val="25"/>
          <w:szCs w:val="25"/>
        </w:rPr>
        <w:t>könyvvizsgáló szolgáltató</w:t>
      </w:r>
      <w:r w:rsidRPr="00D3394E">
        <w:rPr>
          <w:rFonts w:ascii="Times New Roman" w:hAnsi="Times New Roman" w:cs="Times New Roman"/>
          <w:iCs/>
          <w:sz w:val="25"/>
          <w:szCs w:val="25"/>
        </w:rPr>
        <w:t xml:space="preserve">k az előző törvények szerinti </w:t>
      </w:r>
      <w:r w:rsidR="004F1086" w:rsidRPr="00D3394E">
        <w:rPr>
          <w:rFonts w:ascii="Times New Roman" w:hAnsi="Times New Roman" w:cs="Times New Roman"/>
          <w:iCs/>
          <w:sz w:val="25"/>
          <w:szCs w:val="25"/>
        </w:rPr>
        <w:t xml:space="preserve">– a jogszabályi kötelezettségen alapuló könyvvizsgálói tevékenységre vonatkozó – </w:t>
      </w:r>
      <w:r w:rsidRPr="00D3394E">
        <w:rPr>
          <w:rFonts w:ascii="Times New Roman" w:hAnsi="Times New Roman" w:cs="Times New Roman"/>
          <w:iCs/>
          <w:sz w:val="25"/>
          <w:szCs w:val="25"/>
        </w:rPr>
        <w:t>belső szabályzatként fogadhatják el.</w:t>
      </w:r>
      <w:r w:rsidR="004F1086" w:rsidRPr="00D3394E">
        <w:rPr>
          <w:rFonts w:ascii="Times New Roman" w:hAnsi="Times New Roman" w:cs="Times New Roman"/>
          <w:iCs/>
          <w:sz w:val="25"/>
          <w:szCs w:val="25"/>
        </w:rPr>
        <w:t xml:space="preserve"> </w:t>
      </w:r>
    </w:p>
    <w:p w14:paraId="752A4EC1" w14:textId="77777777" w:rsidR="007313CC" w:rsidRPr="00D3394E" w:rsidRDefault="007313CC" w:rsidP="002E117A">
      <w:pPr>
        <w:spacing w:after="0" w:line="240" w:lineRule="auto"/>
        <w:jc w:val="both"/>
        <w:rPr>
          <w:rFonts w:ascii="Times New Roman" w:hAnsi="Times New Roman" w:cs="Times New Roman"/>
          <w:iCs/>
          <w:sz w:val="25"/>
          <w:szCs w:val="25"/>
        </w:rPr>
      </w:pPr>
    </w:p>
    <w:p w14:paraId="10583838" w14:textId="2AE0B7F5" w:rsidR="004F1086" w:rsidRPr="00D3394E" w:rsidRDefault="004F1086"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D3394E">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3394E" w:rsidRDefault="007655C2" w:rsidP="00434F11">
      <w:pPr>
        <w:spacing w:after="0" w:line="240" w:lineRule="auto"/>
        <w:ind w:right="84"/>
        <w:jc w:val="both"/>
        <w:rPr>
          <w:rFonts w:ascii="Times New Roman" w:hAnsi="Times New Roman" w:cs="Times New Roman"/>
          <w:iCs/>
          <w:sz w:val="25"/>
          <w:szCs w:val="25"/>
        </w:rPr>
      </w:pPr>
    </w:p>
    <w:p w14:paraId="0EBA562D" w14:textId="122F7C3A" w:rsidR="00B43B3E" w:rsidRDefault="00B43B3E" w:rsidP="00434F11">
      <w:pPr>
        <w:spacing w:after="0" w:line="240" w:lineRule="auto"/>
        <w:ind w:right="84"/>
        <w:jc w:val="both"/>
        <w:rPr>
          <w:rFonts w:ascii="Times New Roman" w:hAnsi="Times New Roman" w:cs="Times New Roman"/>
          <w:iCs/>
          <w:sz w:val="25"/>
          <w:szCs w:val="25"/>
        </w:rPr>
      </w:pPr>
    </w:p>
    <w:p w14:paraId="42BD68C1" w14:textId="0E80646A" w:rsidR="00E65630" w:rsidRDefault="00E65630" w:rsidP="00434F11">
      <w:pPr>
        <w:spacing w:after="0" w:line="240" w:lineRule="auto"/>
        <w:ind w:right="84"/>
        <w:jc w:val="both"/>
        <w:rPr>
          <w:rFonts w:ascii="Times New Roman" w:hAnsi="Times New Roman" w:cs="Times New Roman"/>
          <w:iCs/>
          <w:sz w:val="25"/>
          <w:szCs w:val="25"/>
        </w:rPr>
      </w:pPr>
    </w:p>
    <w:p w14:paraId="706BFBE8" w14:textId="7A9861CC" w:rsidR="00E65630" w:rsidRDefault="00E65630" w:rsidP="00E65630">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w:t>
      </w:r>
      <w:r>
        <w:rPr>
          <w:rFonts w:ascii="Times New Roman" w:hAnsi="Times New Roman" w:cs="Times New Roman"/>
          <w:b/>
          <w:iCs/>
          <w:sz w:val="25"/>
          <w:szCs w:val="25"/>
        </w:rPr>
        <w:t xml:space="preserve">elnöksége </w:t>
      </w:r>
      <w:r w:rsidRPr="007E39C9">
        <w:rPr>
          <w:rFonts w:ascii="Times New Roman" w:hAnsi="Times New Roman" w:cs="Times New Roman"/>
          <w:b/>
          <w:iCs/>
          <w:sz w:val="25"/>
          <w:szCs w:val="25"/>
        </w:rPr>
        <w:t xml:space="preserve">által </w:t>
      </w:r>
      <w:r>
        <w:rPr>
          <w:rFonts w:ascii="Times New Roman" w:hAnsi="Times New Roman" w:cs="Times New Roman"/>
          <w:b/>
          <w:iCs/>
          <w:sz w:val="25"/>
          <w:szCs w:val="25"/>
        </w:rPr>
        <w:t>2021.06.18-á</w:t>
      </w:r>
      <w:r w:rsidRPr="007E39C9">
        <w:rPr>
          <w:rFonts w:ascii="Times New Roman" w:hAnsi="Times New Roman" w:cs="Times New Roman"/>
          <w:b/>
          <w:iCs/>
          <w:sz w:val="25"/>
          <w:szCs w:val="25"/>
        </w:rPr>
        <w:t xml:space="preserve">n </w:t>
      </w:r>
      <w:r>
        <w:rPr>
          <w:rFonts w:ascii="Times New Roman" w:hAnsi="Times New Roman" w:cs="Times New Roman"/>
          <w:b/>
          <w:iCs/>
          <w:sz w:val="25"/>
          <w:szCs w:val="25"/>
        </w:rPr>
        <w:t xml:space="preserve">elfogadott és 2021.06.25-én hatályba léptetett útmutató 2. sz mellékletét képező </w:t>
      </w:r>
      <w:r w:rsidRPr="007E39C9">
        <w:rPr>
          <w:rFonts w:ascii="Times New Roman" w:hAnsi="Times New Roman" w:cs="Times New Roman"/>
          <w:b/>
          <w:iCs/>
          <w:sz w:val="25"/>
          <w:szCs w:val="25"/>
        </w:rPr>
        <w:t xml:space="preserve">egységes </w:t>
      </w:r>
      <w:r>
        <w:rPr>
          <w:rFonts w:ascii="Times New Roman" w:hAnsi="Times New Roman" w:cs="Times New Roman"/>
          <w:b/>
          <w:iCs/>
          <w:sz w:val="25"/>
          <w:szCs w:val="25"/>
        </w:rPr>
        <w:t>szabályzattal megegyező belső szabályzat.</w:t>
      </w:r>
    </w:p>
    <w:p w14:paraId="79ABEC4A" w14:textId="77777777" w:rsidR="00E65630" w:rsidRDefault="00E65630" w:rsidP="00E65630">
      <w:pPr>
        <w:spacing w:after="0" w:line="240" w:lineRule="auto"/>
        <w:jc w:val="both"/>
        <w:rPr>
          <w:rFonts w:ascii="Times New Roman" w:hAnsi="Times New Roman" w:cs="Times New Roman"/>
          <w:b/>
          <w:iCs/>
          <w:sz w:val="25"/>
          <w:szCs w:val="25"/>
        </w:rPr>
      </w:pPr>
    </w:p>
    <w:p w14:paraId="5394BA35" w14:textId="7CBDE1AA" w:rsidR="00E65630" w:rsidRPr="00FB2487" w:rsidRDefault="00E65630" w:rsidP="00E65630">
      <w:pPr>
        <w:autoSpaceDE w:val="0"/>
        <w:autoSpaceDN w:val="0"/>
        <w:adjustRightInd w:val="0"/>
        <w:spacing w:after="0" w:line="240" w:lineRule="auto"/>
        <w:jc w:val="both"/>
        <w:rPr>
          <w:rFonts w:ascii="Times New Roman" w:hAnsi="Times New Roman" w:cs="Times New Roman"/>
          <w:sz w:val="25"/>
          <w:szCs w:val="25"/>
          <w:lang w:val="it-IT"/>
        </w:rPr>
      </w:pPr>
      <w:r>
        <w:rPr>
          <w:rFonts w:ascii="Times New Roman" w:hAnsi="Times New Roman" w:cs="Times New Roman"/>
          <w:sz w:val="25"/>
          <w:szCs w:val="25"/>
          <w:lang w:val="it-IT"/>
        </w:rPr>
        <w:t xml:space="preserve">Jelen </w:t>
      </w:r>
      <w:r w:rsidRPr="007E39C9">
        <w:rPr>
          <w:rFonts w:ascii="Times New Roman" w:hAnsi="Times New Roman" w:cs="Times New Roman"/>
          <w:iCs/>
          <w:sz w:val="25"/>
          <w:szCs w:val="25"/>
        </w:rPr>
        <w:t xml:space="preserve">szabályzat alkalmazását </w:t>
      </w:r>
      <w:r>
        <w:rPr>
          <w:rFonts w:ascii="Times New Roman" w:hAnsi="Times New Roman" w:cs="Times New Roman"/>
          <w:iCs/>
          <w:sz w:val="25"/>
          <w:szCs w:val="25"/>
          <w:highlight w:val="lightGray"/>
        </w:rPr>
        <w:t>2021</w:t>
      </w:r>
      <w:r w:rsidRPr="00797D33">
        <w:rPr>
          <w:rFonts w:ascii="Times New Roman" w:hAnsi="Times New Roman" w:cs="Times New Roman"/>
          <w:iCs/>
          <w:sz w:val="25"/>
          <w:szCs w:val="25"/>
          <w:highlight w:val="lightGray"/>
        </w:rPr>
        <w:t>.0</w:t>
      </w:r>
      <w:r w:rsidR="003A7F8A">
        <w:rPr>
          <w:rFonts w:ascii="Times New Roman" w:hAnsi="Times New Roman" w:cs="Times New Roman"/>
          <w:iCs/>
          <w:sz w:val="25"/>
          <w:szCs w:val="25"/>
          <w:highlight w:val="lightGray"/>
        </w:rPr>
        <w:t>8.20</w:t>
      </w:r>
      <w:r>
        <w:rPr>
          <w:rFonts w:ascii="Times New Roman" w:hAnsi="Times New Roman" w:cs="Times New Roman"/>
          <w:iCs/>
          <w:sz w:val="25"/>
          <w:szCs w:val="25"/>
        </w:rPr>
        <w:t>.-val elrendelem,</w:t>
      </w:r>
      <w:r>
        <w:rPr>
          <w:rFonts w:ascii="Times New Roman" w:hAnsi="Times New Roman" w:cs="Times New Roman"/>
          <w:sz w:val="25"/>
          <w:szCs w:val="25"/>
          <w:lang w:val="it-IT"/>
        </w:rPr>
        <w:t xml:space="preserve"> mellyel egyidejűleg a </w:t>
      </w:r>
      <w:r w:rsidRPr="00FB2487">
        <w:rPr>
          <w:rFonts w:ascii="Times New Roman" w:hAnsi="Times New Roman" w:cs="Times New Roman"/>
          <w:sz w:val="25"/>
          <w:szCs w:val="25"/>
          <w:highlight w:val="lightGray"/>
          <w:lang w:val="it-IT"/>
        </w:rPr>
        <w:t>20</w:t>
      </w:r>
      <w:r>
        <w:rPr>
          <w:rFonts w:ascii="Times New Roman" w:hAnsi="Times New Roman" w:cs="Times New Roman"/>
          <w:sz w:val="25"/>
          <w:szCs w:val="25"/>
          <w:highlight w:val="lightGray"/>
          <w:lang w:val="it-IT"/>
        </w:rPr>
        <w:t>20.0</w:t>
      </w:r>
      <w:r w:rsidR="003A7F8A">
        <w:rPr>
          <w:rFonts w:ascii="Times New Roman" w:hAnsi="Times New Roman" w:cs="Times New Roman"/>
          <w:sz w:val="25"/>
          <w:szCs w:val="25"/>
          <w:highlight w:val="lightGray"/>
          <w:lang w:val="it-IT"/>
        </w:rPr>
        <w:t>4.09</w:t>
      </w:r>
      <w:r>
        <w:rPr>
          <w:rFonts w:ascii="Times New Roman" w:hAnsi="Times New Roman" w:cs="Times New Roman"/>
          <w:sz w:val="25"/>
          <w:szCs w:val="25"/>
          <w:lang w:val="it-IT"/>
        </w:rPr>
        <w:t>-én elfogadott belső szabályzat és mellékletei hatályukat veszítik.</w:t>
      </w:r>
    </w:p>
    <w:p w14:paraId="6E98F8AB" w14:textId="7536C721" w:rsidR="00E65630" w:rsidRDefault="00E65630" w:rsidP="00434F11">
      <w:pPr>
        <w:spacing w:after="0" w:line="240" w:lineRule="auto"/>
        <w:ind w:right="84"/>
        <w:jc w:val="both"/>
        <w:rPr>
          <w:rFonts w:ascii="Times New Roman" w:hAnsi="Times New Roman" w:cs="Times New Roman"/>
          <w:iCs/>
          <w:sz w:val="25"/>
          <w:szCs w:val="25"/>
        </w:rPr>
      </w:pPr>
    </w:p>
    <w:p w14:paraId="518228F6" w14:textId="4C480093" w:rsidR="00E65630" w:rsidRDefault="00E65630" w:rsidP="00434F11">
      <w:pPr>
        <w:spacing w:after="0" w:line="240" w:lineRule="auto"/>
        <w:ind w:right="84"/>
        <w:jc w:val="both"/>
        <w:rPr>
          <w:rFonts w:ascii="Times New Roman" w:hAnsi="Times New Roman" w:cs="Times New Roman"/>
          <w:iCs/>
          <w:sz w:val="25"/>
          <w:szCs w:val="25"/>
        </w:rPr>
      </w:pPr>
    </w:p>
    <w:p w14:paraId="014ADA21" w14:textId="38D8B7AC" w:rsidR="00E65630" w:rsidRDefault="00E65630" w:rsidP="00434F11">
      <w:pPr>
        <w:spacing w:after="0" w:line="240" w:lineRule="auto"/>
        <w:ind w:right="84"/>
        <w:jc w:val="both"/>
        <w:rPr>
          <w:rFonts w:ascii="Times New Roman" w:hAnsi="Times New Roman" w:cs="Times New Roman"/>
          <w:iCs/>
          <w:sz w:val="25"/>
          <w:szCs w:val="25"/>
        </w:rPr>
      </w:pPr>
    </w:p>
    <w:p w14:paraId="6D0B1254" w14:textId="34CE3839" w:rsidR="00E65630" w:rsidRDefault="00E65630" w:rsidP="00434F11">
      <w:pPr>
        <w:spacing w:after="0" w:line="240" w:lineRule="auto"/>
        <w:ind w:right="84"/>
        <w:jc w:val="both"/>
        <w:rPr>
          <w:rFonts w:ascii="Times New Roman" w:hAnsi="Times New Roman" w:cs="Times New Roman"/>
          <w:iCs/>
          <w:sz w:val="25"/>
          <w:szCs w:val="25"/>
        </w:rPr>
      </w:pPr>
    </w:p>
    <w:p w14:paraId="664FAA56" w14:textId="7340A75B" w:rsidR="00E65630" w:rsidRDefault="00E65630" w:rsidP="00434F11">
      <w:pPr>
        <w:spacing w:after="0" w:line="240" w:lineRule="auto"/>
        <w:ind w:right="84"/>
        <w:jc w:val="both"/>
        <w:rPr>
          <w:rFonts w:ascii="Times New Roman" w:hAnsi="Times New Roman" w:cs="Times New Roman"/>
          <w:iCs/>
          <w:sz w:val="25"/>
          <w:szCs w:val="25"/>
        </w:rPr>
      </w:pPr>
    </w:p>
    <w:p w14:paraId="070ED890" w14:textId="77777777" w:rsidR="005D5D53" w:rsidRPr="007E39C9" w:rsidRDefault="005D5D53" w:rsidP="005D5D53">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F96C974" w14:textId="77777777" w:rsidR="005D5D53" w:rsidRPr="007E39C9" w:rsidRDefault="005D5D53" w:rsidP="005D5D53">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2614F9D" w14:textId="294628B8" w:rsidR="00E65630" w:rsidRDefault="00E65630" w:rsidP="00434F11">
      <w:pPr>
        <w:spacing w:after="0" w:line="240" w:lineRule="auto"/>
        <w:ind w:right="84"/>
        <w:jc w:val="both"/>
        <w:rPr>
          <w:rFonts w:ascii="Times New Roman" w:hAnsi="Times New Roman" w:cs="Times New Roman"/>
          <w:iCs/>
          <w:sz w:val="25"/>
          <w:szCs w:val="25"/>
        </w:rPr>
      </w:pPr>
    </w:p>
    <w:p w14:paraId="0394E28E" w14:textId="5C0246F0" w:rsidR="00E65630" w:rsidRDefault="00E65630" w:rsidP="00434F11">
      <w:pPr>
        <w:spacing w:after="0" w:line="240" w:lineRule="auto"/>
        <w:ind w:right="84"/>
        <w:jc w:val="both"/>
        <w:rPr>
          <w:rFonts w:ascii="Times New Roman" w:hAnsi="Times New Roman" w:cs="Times New Roman"/>
          <w:iCs/>
          <w:sz w:val="25"/>
          <w:szCs w:val="25"/>
        </w:rPr>
      </w:pPr>
    </w:p>
    <w:p w14:paraId="5E683CC7" w14:textId="73ED9B4B" w:rsidR="00925BB6" w:rsidRDefault="00925BB6" w:rsidP="00434F11">
      <w:pPr>
        <w:spacing w:after="0" w:line="240" w:lineRule="auto"/>
        <w:ind w:right="84"/>
        <w:jc w:val="both"/>
        <w:rPr>
          <w:rFonts w:ascii="Times New Roman" w:hAnsi="Times New Roman" w:cs="Times New Roman"/>
          <w:iCs/>
          <w:sz w:val="25"/>
          <w:szCs w:val="25"/>
        </w:rPr>
      </w:pPr>
    </w:p>
    <w:p w14:paraId="3A4C3FFF" w14:textId="2A646496" w:rsidR="00E65630" w:rsidRDefault="00E65630" w:rsidP="00434F11">
      <w:pPr>
        <w:spacing w:after="0" w:line="240" w:lineRule="auto"/>
        <w:ind w:right="84"/>
        <w:jc w:val="both"/>
        <w:rPr>
          <w:rFonts w:ascii="Times New Roman" w:hAnsi="Times New Roman" w:cs="Times New Roman"/>
          <w:iCs/>
          <w:sz w:val="25"/>
          <w:szCs w:val="25"/>
        </w:rPr>
      </w:pPr>
    </w:p>
    <w:p w14:paraId="16D22FC8" w14:textId="77777777" w:rsidR="00E65630" w:rsidRPr="00D3394E" w:rsidRDefault="00E65630" w:rsidP="00434F11">
      <w:pPr>
        <w:spacing w:after="0" w:line="240" w:lineRule="auto"/>
        <w:ind w:right="84"/>
        <w:jc w:val="both"/>
        <w:rPr>
          <w:rFonts w:ascii="Times New Roman" w:hAnsi="Times New Roman" w:cs="Times New Roman"/>
          <w:iCs/>
          <w:sz w:val="25"/>
          <w:szCs w:val="25"/>
        </w:rPr>
      </w:pPr>
    </w:p>
    <w:p w14:paraId="7598C243" w14:textId="77777777" w:rsidR="00867256" w:rsidRPr="004E1F7C" w:rsidRDefault="00867256" w:rsidP="00867256">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00617902" w14:textId="77777777" w:rsidR="00867256" w:rsidRPr="004E1F7C" w:rsidRDefault="00867256" w:rsidP="00867256">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366BEE29" w14:textId="77777777" w:rsidR="00867256" w:rsidRPr="004E1F7C" w:rsidRDefault="00867256" w:rsidP="00867256">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4E1F7C">
        <w:rPr>
          <w:rFonts w:ascii="Times New Roman" w:eastAsia="Times New Roman" w:hAnsi="Times New Roman" w:cs="Times New Roman"/>
          <w:sz w:val="25"/>
          <w:szCs w:val="25"/>
          <w:lang w:eastAsia="hu-HU"/>
        </w:rPr>
        <w:t>Pmt</w:t>
      </w:r>
      <w:proofErr w:type="spellEnd"/>
      <w:r w:rsidRPr="004E1F7C">
        <w:rPr>
          <w:rFonts w:ascii="Times New Roman" w:eastAsia="Times New Roman" w:hAnsi="Times New Roman" w:cs="Times New Roman"/>
          <w:sz w:val="25"/>
          <w:szCs w:val="25"/>
          <w:lang w:eastAsia="hu-HU"/>
        </w:rPr>
        <w:t xml:space="preserve">-ben és a Kit-ben, valamint </w:t>
      </w:r>
      <w:r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(a továbbiakban: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 xml:space="preserve"> tv.) meghatározott fogalmakkal. </w:t>
      </w:r>
      <w:proofErr w:type="spellStart"/>
      <w:r w:rsidRPr="004E1F7C">
        <w:rPr>
          <w:rFonts w:ascii="Times New Roman" w:eastAsia="Times New Roman" w:hAnsi="Times New Roman" w:cs="Times New Roman"/>
          <w:sz w:val="25"/>
          <w:szCs w:val="25"/>
          <w:lang w:eastAsia="hu-HU"/>
        </w:rPr>
        <w:t>Előzőeken</w:t>
      </w:r>
      <w:proofErr w:type="spellEnd"/>
      <w:r w:rsidRPr="004E1F7C">
        <w:rPr>
          <w:rFonts w:ascii="Times New Roman" w:eastAsia="Times New Roman" w:hAnsi="Times New Roman" w:cs="Times New Roman"/>
          <w:sz w:val="25"/>
          <w:szCs w:val="25"/>
          <w:lang w:eastAsia="hu-HU"/>
        </w:rPr>
        <w:t xml:space="preserve"> túlmenően, jelen szabályzat alkalmazásában:</w:t>
      </w:r>
    </w:p>
    <w:p w14:paraId="659C69B8" w14:textId="77777777" w:rsidR="00867256" w:rsidRPr="004E1F7C" w:rsidRDefault="00867256" w:rsidP="00867256">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3C90A35E" w14:textId="77777777" w:rsidR="00867256" w:rsidRPr="004E1F7C" w:rsidRDefault="00867256" w:rsidP="00867256">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13D819BA" w14:textId="77777777" w:rsidR="00867256" w:rsidRPr="004E1F7C" w:rsidRDefault="00867256" w:rsidP="00867256">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45FC079" w14:textId="77777777" w:rsidR="00867256" w:rsidRPr="004E1F7C" w:rsidRDefault="00867256" w:rsidP="00867256">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4E9F32A7" w14:textId="77777777" w:rsidR="00867256" w:rsidRPr="004E1F7C" w:rsidRDefault="00867256" w:rsidP="00867256">
      <w:pPr>
        <w:widowControl w:val="0"/>
        <w:spacing w:after="0" w:line="240" w:lineRule="auto"/>
        <w:jc w:val="both"/>
        <w:outlineLvl w:val="0"/>
        <w:rPr>
          <w:rFonts w:ascii="Times New Roman" w:eastAsia="Times New Roman" w:hAnsi="Times New Roman" w:cs="Times New Roman"/>
          <w:b/>
          <w:sz w:val="25"/>
          <w:szCs w:val="25"/>
          <w:lang w:eastAsia="hu-HU"/>
        </w:rPr>
      </w:pPr>
    </w:p>
    <w:p w14:paraId="4C6705F0" w14:textId="77777777" w:rsidR="00867256" w:rsidRPr="004E1F7C" w:rsidRDefault="00867256" w:rsidP="00867256">
      <w:pPr>
        <w:pStyle w:val="Listaszerbekezds"/>
        <w:widowControl w:val="0"/>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Ügyfél átvilágítási kötelezettség</w:t>
      </w:r>
    </w:p>
    <w:p w14:paraId="275B96CA" w14:textId="77777777" w:rsidR="00867256" w:rsidRPr="004E1F7C" w:rsidRDefault="00867256" w:rsidP="0086725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7FB48B9C"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A könyvvizsgáló szolgáltató az ügyfél-átvilágítást köteles alkalmazni</w:t>
      </w:r>
    </w:p>
    <w:p w14:paraId="4C5CE3C5"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229ADF66"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2A7915F0"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024B4F6A"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1E3243F7"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ha az ügyfél-azonosító adatokban bekövetkezett változás kerül átvezetésre és kockázatérzékenységi megközelítés alapján szükséges az ügyfél-átvilágítás ismételt elvégzése. </w:t>
      </w:r>
    </w:p>
    <w:p w14:paraId="096625E4" w14:textId="77777777" w:rsidR="00867256" w:rsidRPr="004E1F7C" w:rsidRDefault="00867256" w:rsidP="00867256">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2EC84710" w14:textId="77777777" w:rsidR="00867256" w:rsidRPr="004E1F7C" w:rsidRDefault="00867256" w:rsidP="00867256">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besorolását az útmutató 1. számú mellékletének 1. pontjában meghatározott kockázati tényezők dokumentált értékelésével.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545B033C"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297E725" w14:textId="77777777" w:rsidR="00867256" w:rsidRPr="004E1F7C" w:rsidRDefault="00867256" w:rsidP="00867256">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w:t>
      </w:r>
      <w:proofErr w:type="spellStart"/>
      <w:r w:rsidRPr="004E1F7C">
        <w:rPr>
          <w:rFonts w:ascii="Times New Roman" w:hAnsi="Times New Roman"/>
          <w:sz w:val="25"/>
          <w:szCs w:val="25"/>
        </w:rPr>
        <w:t>ügyfelenként</w:t>
      </w:r>
      <w:proofErr w:type="spellEnd"/>
      <w:r w:rsidRPr="004E1F7C">
        <w:rPr>
          <w:rFonts w:ascii="Times New Roman" w:hAnsi="Times New Roman"/>
          <w:sz w:val="25"/>
          <w:szCs w:val="25"/>
        </w:rPr>
        <w:t xml:space="preserve"> elvégzi az ügyfél-átvilágítást, valamint a kockázati besorolásuk tekintetében figyelemmel van a kapcsolat együttes kockázati jellegére.</w:t>
      </w:r>
    </w:p>
    <w:p w14:paraId="588B41D1" w14:textId="77777777" w:rsidR="00867256" w:rsidRPr="004E1F7C" w:rsidRDefault="00867256" w:rsidP="00867256">
      <w:pPr>
        <w:autoSpaceDE w:val="0"/>
        <w:autoSpaceDN w:val="0"/>
        <w:adjustRightInd w:val="0"/>
        <w:spacing w:after="0" w:line="240" w:lineRule="auto"/>
        <w:ind w:left="426"/>
        <w:jc w:val="both"/>
        <w:rPr>
          <w:rFonts w:ascii="Times New Roman" w:hAnsi="Times New Roman"/>
          <w:sz w:val="25"/>
          <w:szCs w:val="25"/>
        </w:rPr>
      </w:pPr>
    </w:p>
    <w:p w14:paraId="7168E4C9" w14:textId="77777777" w:rsidR="00867256" w:rsidRPr="004E1F7C" w:rsidRDefault="00867256" w:rsidP="00867256">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601DE881" w14:textId="77777777" w:rsidR="00867256" w:rsidRPr="004E1F7C" w:rsidRDefault="00867256" w:rsidP="00867256">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766D95DF"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51B7343" w14:textId="77777777" w:rsidR="00867256" w:rsidRPr="004E1F7C" w:rsidRDefault="00867256" w:rsidP="00867256">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6921B6DE"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D714135" w14:textId="77777777" w:rsidR="00867256" w:rsidRPr="004E1F7C" w:rsidRDefault="00867256" w:rsidP="00867256">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0CDF70F0" w14:textId="77777777" w:rsidR="00867256" w:rsidRPr="004E1F7C" w:rsidRDefault="00867256" w:rsidP="00867256">
      <w:pPr>
        <w:pStyle w:val="Listaszerbekezds"/>
        <w:rPr>
          <w:rFonts w:ascii="Times New Roman" w:hAnsi="Times New Roman"/>
          <w:sz w:val="25"/>
          <w:szCs w:val="25"/>
        </w:rPr>
      </w:pPr>
    </w:p>
    <w:p w14:paraId="72FC6321" w14:textId="7460046D" w:rsidR="00867256" w:rsidRDefault="00867256" w:rsidP="00867256">
      <w:pPr>
        <w:pStyle w:val="Listaszerbekezds"/>
        <w:autoSpaceDE w:val="0"/>
        <w:autoSpaceDN w:val="0"/>
        <w:adjustRightInd w:val="0"/>
        <w:spacing w:after="0" w:line="240" w:lineRule="auto"/>
        <w:ind w:left="426"/>
        <w:jc w:val="both"/>
        <w:rPr>
          <w:rFonts w:ascii="Times New Roman" w:hAnsi="Times New Roman"/>
          <w:sz w:val="25"/>
          <w:szCs w:val="25"/>
        </w:rPr>
      </w:pPr>
    </w:p>
    <w:p w14:paraId="2296B832" w14:textId="77777777" w:rsidR="00A44D89" w:rsidRPr="004E1F7C" w:rsidRDefault="00A44D89" w:rsidP="00867256">
      <w:pPr>
        <w:pStyle w:val="Listaszerbekezds"/>
        <w:autoSpaceDE w:val="0"/>
        <w:autoSpaceDN w:val="0"/>
        <w:adjustRightInd w:val="0"/>
        <w:spacing w:after="0" w:line="240" w:lineRule="auto"/>
        <w:ind w:left="426"/>
        <w:jc w:val="both"/>
        <w:rPr>
          <w:rFonts w:ascii="Times New Roman" w:hAnsi="Times New Roman"/>
          <w:sz w:val="25"/>
          <w:szCs w:val="25"/>
        </w:rPr>
      </w:pPr>
    </w:p>
    <w:p w14:paraId="5773CED1" w14:textId="77777777" w:rsidR="00867256" w:rsidRPr="004E1F7C" w:rsidRDefault="00867256" w:rsidP="00867256">
      <w:pPr>
        <w:pStyle w:val="Listaszerbekezds"/>
        <w:autoSpaceDE w:val="0"/>
        <w:autoSpaceDN w:val="0"/>
        <w:adjustRightInd w:val="0"/>
        <w:spacing w:after="0" w:line="240" w:lineRule="auto"/>
        <w:ind w:left="426"/>
        <w:jc w:val="both"/>
        <w:rPr>
          <w:rFonts w:ascii="Times New Roman" w:hAnsi="Times New Roman"/>
          <w:sz w:val="25"/>
          <w:szCs w:val="25"/>
        </w:rPr>
      </w:pPr>
    </w:p>
    <w:p w14:paraId="10D1FC13" w14:textId="77777777" w:rsidR="00867256" w:rsidRPr="004E1F7C" w:rsidRDefault="00867256" w:rsidP="00867256">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62C017B4"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t>Ügyfél-átvilágítási intézkedések</w:t>
      </w:r>
    </w:p>
    <w:p w14:paraId="7E5A3412" w14:textId="77777777" w:rsidR="00867256" w:rsidRPr="004E1F7C" w:rsidRDefault="00867256" w:rsidP="00867256">
      <w:pPr>
        <w:autoSpaceDE w:val="0"/>
        <w:autoSpaceDN w:val="0"/>
        <w:adjustRightInd w:val="0"/>
        <w:spacing w:after="0" w:line="240" w:lineRule="auto"/>
        <w:ind w:right="84"/>
        <w:jc w:val="both"/>
        <w:rPr>
          <w:rFonts w:ascii="Times New Roman" w:hAnsi="Times New Roman"/>
          <w:sz w:val="25"/>
          <w:szCs w:val="25"/>
        </w:rPr>
      </w:pPr>
    </w:p>
    <w:p w14:paraId="658C9504" w14:textId="77777777" w:rsidR="00867256" w:rsidRPr="004E1F7C" w:rsidRDefault="00867256" w:rsidP="00867256">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t>Az ügyfél és a képviselő azonosítása, az azonosítás során rögzítendő adatok köre</w:t>
      </w:r>
    </w:p>
    <w:p w14:paraId="5D3DABAB" w14:textId="77777777" w:rsidR="00867256" w:rsidRPr="004E1F7C" w:rsidRDefault="00867256" w:rsidP="00867256">
      <w:pPr>
        <w:autoSpaceDE w:val="0"/>
        <w:autoSpaceDN w:val="0"/>
        <w:adjustRightInd w:val="0"/>
        <w:spacing w:after="0" w:line="240" w:lineRule="auto"/>
        <w:ind w:right="84"/>
        <w:jc w:val="center"/>
        <w:rPr>
          <w:rFonts w:ascii="Times New Roman" w:hAnsi="Times New Roman"/>
          <w:sz w:val="25"/>
          <w:szCs w:val="25"/>
        </w:rPr>
      </w:pPr>
    </w:p>
    <w:p w14:paraId="21EFAA92"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könyvvizsgáló szolgáltató a 2. pontban felsorolt esetekben köteles az ügyfelet, annak meghatalmazottját, a könyvvizsgáló szolgáltatónál eljáró rendelkezésre jogosultat, továbbá a könyvvizsgáló szolgáltatónál eljáró képviselőt (a meghatalmazott, rendelkezésre jogosult, és képviselő a továbbiakban: képviselő) azonosítani és személyazonosságának igazoló ellenőrzését elvégezni.</w:t>
      </w:r>
    </w:p>
    <w:p w14:paraId="026F68A7" w14:textId="77777777" w:rsidR="00867256" w:rsidRPr="004E1F7C" w:rsidRDefault="00867256" w:rsidP="00867256">
      <w:pPr>
        <w:autoSpaceDE w:val="0"/>
        <w:autoSpaceDN w:val="0"/>
        <w:adjustRightInd w:val="0"/>
        <w:spacing w:after="0" w:line="240" w:lineRule="auto"/>
        <w:ind w:right="84"/>
        <w:jc w:val="both"/>
      </w:pPr>
    </w:p>
    <w:p w14:paraId="070E7855" w14:textId="77777777" w:rsidR="00867256" w:rsidRPr="004E1F7C" w:rsidRDefault="00867256" w:rsidP="00867256">
      <w:pPr>
        <w:pStyle w:val="Listaszerbekezds"/>
        <w:autoSpaceDE w:val="0"/>
        <w:autoSpaceDN w:val="0"/>
        <w:adjustRightInd w:val="0"/>
        <w:spacing w:after="0" w:line="240" w:lineRule="auto"/>
        <w:ind w:left="360" w:right="84"/>
        <w:jc w:val="both"/>
        <w:rPr>
          <w:rFonts w:ascii="Times New Roman" w:hAnsi="Times New Roman"/>
          <w:sz w:val="25"/>
          <w:szCs w:val="25"/>
        </w:rPr>
      </w:pPr>
    </w:p>
    <w:p w14:paraId="512B080E" w14:textId="77777777" w:rsidR="00867256" w:rsidRPr="004E1F7C" w:rsidRDefault="00867256" w:rsidP="00867256">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A könyvvizsgáló szolgáltató az azonosítás során az alábbi adatokat köteles rögzíteni:</w:t>
      </w:r>
    </w:p>
    <w:p w14:paraId="7AE0F43D" w14:textId="77777777" w:rsidR="00867256" w:rsidRPr="004E1F7C" w:rsidRDefault="00867256" w:rsidP="00867256">
      <w:pPr>
        <w:pStyle w:val="Listaszerbekezds"/>
        <w:autoSpaceDE w:val="0"/>
        <w:autoSpaceDN w:val="0"/>
        <w:adjustRightInd w:val="0"/>
        <w:spacing w:after="0" w:line="240" w:lineRule="auto"/>
        <w:ind w:left="360" w:right="84"/>
        <w:rPr>
          <w:rFonts w:ascii="Times New Roman" w:hAnsi="Times New Roman"/>
          <w:sz w:val="25"/>
          <w:szCs w:val="25"/>
        </w:rPr>
      </w:pPr>
    </w:p>
    <w:p w14:paraId="2306C00C" w14:textId="77777777" w:rsidR="00867256" w:rsidRPr="004E1F7C" w:rsidRDefault="00867256" w:rsidP="00867256">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t>az ügyfél természetes személy képviselőjének azonosítása során a természetes személy</w:t>
      </w:r>
    </w:p>
    <w:p w14:paraId="550257D0" w14:textId="77777777" w:rsidR="00867256" w:rsidRPr="004E1F7C" w:rsidRDefault="00867256" w:rsidP="00867256">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utónevét,</w:t>
      </w:r>
    </w:p>
    <w:p w14:paraId="55EF9D07"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ab) születési családi és utónévét,</w:t>
      </w:r>
    </w:p>
    <w:p w14:paraId="646806E8"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állampolgárságát,</w:t>
      </w:r>
    </w:p>
    <w:p w14:paraId="05DDEBAB"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ad) születési helyét és idejét,</w:t>
      </w:r>
    </w:p>
    <w:p w14:paraId="2DA6BC7D"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p>
    <w:p w14:paraId="7099D82E"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lakcímét, ennek hiányában tartózkodási helyét,</w:t>
      </w:r>
    </w:p>
    <w:p w14:paraId="59075592"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azonosító okmányának számát és típusát.</w:t>
      </w:r>
    </w:p>
    <w:p w14:paraId="096A9B6F" w14:textId="77777777" w:rsidR="00867256" w:rsidRPr="004E1F7C" w:rsidRDefault="00867256" w:rsidP="00867256">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59D9992F" w14:textId="77777777" w:rsidR="00867256" w:rsidRPr="004E1F7C" w:rsidRDefault="00867256" w:rsidP="00867256">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Pr="004E1F7C">
        <w:rPr>
          <w:rFonts w:ascii="Times New Roman" w:eastAsia="Times New Roman" w:hAnsi="Times New Roman" w:cs="Times New Roman"/>
          <w:bCs/>
          <w:sz w:val="25"/>
          <w:szCs w:val="25"/>
          <w:lang w:eastAsia="hu-HU"/>
        </w:rPr>
        <w:t>ogi személy vagy jogi személyiséggel nem rendelkező szervezet azonosítása során a szervezet</w:t>
      </w:r>
    </w:p>
    <w:p w14:paraId="0BD69232"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p>
    <w:p w14:paraId="41B32DC7" w14:textId="77777777" w:rsidR="00867256" w:rsidRPr="004E1F7C" w:rsidRDefault="00867256" w:rsidP="00867256">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lastRenderedPageBreak/>
        <w:t>székhelyének, külföldi székhelyű vállalkozás esetén – amennyiben rendelkezik ilyennel – magyarországi fióktelepének címét,</w:t>
      </w:r>
    </w:p>
    <w:p w14:paraId="11F00C2E"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főtevékenységét,</w:t>
      </w:r>
    </w:p>
    <w:p w14:paraId="410FEEDE"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xml:space="preserve">) képviseletére jogosultak nevét és beosztását, </w:t>
      </w:r>
    </w:p>
    <w:p w14:paraId="1B4B904B"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 xml:space="preserve">be) – ha ilyennel rendelkezik – kézbesítési megbízottjának az a) pont </w:t>
      </w: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és </w:t>
      </w: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alpontjai szerinti adatait </w:t>
      </w:r>
    </w:p>
    <w:p w14:paraId="3CEB5853"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2BA84225"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adószámát.</w:t>
      </w:r>
    </w:p>
    <w:p w14:paraId="70FE3EAF"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
    <w:p w14:paraId="64B7B715"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a könyvvizsgáló szolgáltató által üzemeltetett, biztonságos, védett, a kamarai útmutatóban meghatározott módon, előzetesen auditált elektronikus hírközlő eszköz útján is elvégezhető (a továbbiakban: auditált elektronikus hírközlő eszköz). </w:t>
      </w:r>
    </w:p>
    <w:p w14:paraId="76F7960A" w14:textId="77777777" w:rsidR="00867256" w:rsidRPr="004E1F7C" w:rsidRDefault="00867256" w:rsidP="00867256">
      <w:pPr>
        <w:pStyle w:val="Listaszerbekezds"/>
        <w:autoSpaceDE w:val="0"/>
        <w:autoSpaceDN w:val="0"/>
        <w:adjustRightInd w:val="0"/>
        <w:spacing w:after="0" w:line="240" w:lineRule="auto"/>
        <w:ind w:left="360"/>
        <w:jc w:val="both"/>
        <w:rPr>
          <w:rFonts w:ascii="Times New Roman" w:hAnsi="Times New Roman"/>
          <w:sz w:val="25"/>
          <w:szCs w:val="25"/>
        </w:rPr>
      </w:pPr>
    </w:p>
    <w:p w14:paraId="1343EFAD"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A 7. pont a) pontja ab)-</w:t>
      </w:r>
      <w:proofErr w:type="spellStart"/>
      <w:r w:rsidRPr="004E1F7C">
        <w:rPr>
          <w:rFonts w:ascii="Times New Roman" w:eastAsiaTheme="minorHAnsi" w:hAnsi="Times New Roman"/>
          <w:sz w:val="25"/>
          <w:szCs w:val="25"/>
        </w:rPr>
        <w:t>ac</w:t>
      </w:r>
      <w:proofErr w:type="spellEnd"/>
      <w:r w:rsidRPr="004E1F7C">
        <w:rPr>
          <w:rFonts w:ascii="Times New Roman" w:eastAsiaTheme="minorHAnsi" w:hAnsi="Times New Roman"/>
          <w:sz w:val="25"/>
          <w:szCs w:val="25"/>
        </w:rPr>
        <w:t xml:space="preserve">) és </w:t>
      </w:r>
      <w:proofErr w:type="spellStart"/>
      <w:r w:rsidRPr="004E1F7C">
        <w:rPr>
          <w:rFonts w:ascii="Times New Roman" w:eastAsiaTheme="minorHAnsi" w:hAnsi="Times New Roman"/>
          <w:sz w:val="25"/>
          <w:szCs w:val="25"/>
        </w:rPr>
        <w:t>ae</w:t>
      </w:r>
      <w:proofErr w:type="spellEnd"/>
      <w:r w:rsidRPr="004E1F7C">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 ellenőrzés mellőz</w:t>
      </w:r>
      <w:r w:rsidRPr="004E1F7C">
        <w:rPr>
          <w:rFonts w:ascii="Times New Roman" w:hAnsi="Times New Roman"/>
          <w:sz w:val="25"/>
          <w:szCs w:val="25"/>
        </w:rPr>
        <w:t>é</w:t>
      </w:r>
      <w:r w:rsidRPr="004E1F7C">
        <w:rPr>
          <w:rFonts w:ascii="Times New Roman" w:eastAsiaTheme="minorHAnsi" w:hAnsi="Times New Roman"/>
          <w:sz w:val="25"/>
          <w:szCs w:val="25"/>
        </w:rPr>
        <w:t>sével került sor.</w:t>
      </w:r>
    </w:p>
    <w:p w14:paraId="304E8502"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4F516A4D" w14:textId="77777777" w:rsidR="00867256" w:rsidRPr="004E1F7C" w:rsidRDefault="00867256" w:rsidP="00A44D89">
      <w:pPr>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9/A.</w:t>
      </w:r>
      <w:r w:rsidRPr="004E1F7C">
        <w:rPr>
          <w:rFonts w:ascii="Times New Roman" w:hAnsi="Times New Roman"/>
          <w:i/>
          <w:iCs/>
          <w:sz w:val="25"/>
          <w:szCs w:val="25"/>
        </w:rPr>
        <w:tab/>
        <w:t xml:space="preserve">A könyvvizsgáló szolgáltató 2022. február 1-jét követően a számára a jelen szabályzat III.1. pontja szerint előírt ügyfél-átvilágítási intézkedések teljesítése érdekében ingyenesen, a tényleges tulajdonosi nyilvántartást vezető nyilvántartó szerv (a továbbiakban: nyilvántartó szerv) által meghatározott módon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szerinti alábbi adataihoz:</w:t>
      </w:r>
    </w:p>
    <w:p w14:paraId="0167FE3E"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0D91441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a) az adatszolgáltató nemzeti nyilvántartási száma;</w:t>
      </w:r>
    </w:p>
    <w:p w14:paraId="18ED658C"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b) az adatszolgáltató neve, rövidített neve;</w:t>
      </w:r>
    </w:p>
    <w:p w14:paraId="665D664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c) az adatszolgáltató székhelye, természetes személy bizalmi vagyonkezelő esetén lakcíme, ennek hiányában tartózkodási helye;</w:t>
      </w:r>
    </w:p>
    <w:p w14:paraId="28291BF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d) ha ilyennel rendelkezik, az adatszolgáltató adószáma;</w:t>
      </w:r>
    </w:p>
    <w:p w14:paraId="4C222852"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5571B2F8"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f) ha ilyennel rendelkezik, az adatszolgáltató európai egyedi azonosítója;</w:t>
      </w:r>
    </w:p>
    <w:p w14:paraId="05EBC47D"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g) az adatszolgáltató tényleges tulajdonosának vagy tulajdonosainak</w:t>
      </w:r>
    </w:p>
    <w:p w14:paraId="40DDB492"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ga</w:t>
      </w:r>
      <w:proofErr w:type="spellEnd"/>
      <w:r w:rsidRPr="004E1F7C">
        <w:rPr>
          <w:rFonts w:ascii="Times New Roman" w:hAnsi="Times New Roman"/>
          <w:i/>
          <w:iCs/>
          <w:sz w:val="25"/>
          <w:szCs w:val="25"/>
        </w:rPr>
        <w:t>) családi és utóneve;</w:t>
      </w:r>
    </w:p>
    <w:p w14:paraId="1465119E"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gb</w:t>
      </w:r>
      <w:proofErr w:type="spellEnd"/>
      <w:r w:rsidRPr="004E1F7C">
        <w:rPr>
          <w:rFonts w:ascii="Times New Roman" w:hAnsi="Times New Roman"/>
          <w:i/>
          <w:iCs/>
          <w:sz w:val="25"/>
          <w:szCs w:val="25"/>
        </w:rPr>
        <w:t>) születési családi és utóneve;</w:t>
      </w:r>
    </w:p>
    <w:p w14:paraId="0461A64E"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gc</w:t>
      </w:r>
      <w:proofErr w:type="spellEnd"/>
      <w:r w:rsidRPr="004E1F7C">
        <w:rPr>
          <w:rFonts w:ascii="Times New Roman" w:hAnsi="Times New Roman"/>
          <w:i/>
          <w:iCs/>
          <w:sz w:val="25"/>
          <w:szCs w:val="25"/>
        </w:rPr>
        <w:t>) állampolgársága;</w:t>
      </w:r>
    </w:p>
    <w:p w14:paraId="3135B1E3"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gd</w:t>
      </w:r>
      <w:proofErr w:type="spellEnd"/>
      <w:r w:rsidRPr="004E1F7C">
        <w:rPr>
          <w:rFonts w:ascii="Times New Roman" w:hAnsi="Times New Roman"/>
          <w:i/>
          <w:iCs/>
          <w:sz w:val="25"/>
          <w:szCs w:val="25"/>
        </w:rPr>
        <w:t>) születési helye, ideje;</w:t>
      </w:r>
    </w:p>
    <w:p w14:paraId="73F62A1A"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ge</w:t>
      </w:r>
      <w:proofErr w:type="spellEnd"/>
      <w:r w:rsidRPr="004E1F7C">
        <w:rPr>
          <w:rFonts w:ascii="Times New Roman" w:hAnsi="Times New Roman"/>
          <w:i/>
          <w:iCs/>
          <w:sz w:val="25"/>
          <w:szCs w:val="25"/>
        </w:rPr>
        <w:t>) lakcíme, ennek hiányában tartózkodási helye;</w:t>
      </w:r>
    </w:p>
    <w:p w14:paraId="45BA231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gf</w:t>
      </w:r>
      <w:proofErr w:type="spellEnd"/>
      <w:r w:rsidRPr="004E1F7C">
        <w:rPr>
          <w:rFonts w:ascii="Times New Roman" w:hAnsi="Times New Roman"/>
          <w:i/>
          <w:iCs/>
          <w:sz w:val="25"/>
          <w:szCs w:val="25"/>
        </w:rPr>
        <w:t xml:space="preserve">) érdekeltségének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3. § 38. pont</w:t>
      </w:r>
      <w:r>
        <w:rPr>
          <w:rFonts w:ascii="Times New Roman" w:hAnsi="Times New Roman"/>
          <w:i/>
          <w:iCs/>
          <w:sz w:val="25"/>
          <w:szCs w:val="25"/>
        </w:rPr>
        <w:t xml:space="preserve"> </w:t>
      </w:r>
      <w:r w:rsidRPr="004E1F7C">
        <w:rPr>
          <w:rFonts w:ascii="Times New Roman" w:hAnsi="Times New Roman"/>
          <w:i/>
          <w:iCs/>
          <w:sz w:val="25"/>
          <w:szCs w:val="25"/>
        </w:rPr>
        <w:t>a) és b), valamint d)–f) pontjai szerinti jellege és mértéke;</w:t>
      </w:r>
    </w:p>
    <w:p w14:paraId="10E08505"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105BC0A0"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lastRenderedPageBreak/>
        <w:t xml:space="preserve">A könyvvizsgáló szolgáltató a fentiek mellett a nyilvántartó szerv által meghatározott módon hozzáférhet a hatóság, az ügyészség, a bíróság és a felügyeletet ellátó szerv által ismert és a bejelentett tényleges tulajdonosi nyilvántartási adatokhoz, valamint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szerinti szolgáltatók által közölt adatokhoz és azok rögzítésének időpontjához.</w:t>
      </w:r>
    </w:p>
    <w:p w14:paraId="2AF96942"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3D47C61E"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Ha a könyvvizsgáló szolgáltató a jelen szabályzat III.1. pontja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w:t>
      </w:r>
      <w:proofErr w:type="spellStart"/>
      <w:r w:rsidRPr="004E1F7C">
        <w:rPr>
          <w:rFonts w:ascii="Times New Roman" w:hAnsi="Times New Roman"/>
          <w:i/>
          <w:iCs/>
          <w:sz w:val="25"/>
          <w:szCs w:val="25"/>
        </w:rPr>
        <w:t>előzőek</w:t>
      </w:r>
      <w:proofErr w:type="spellEnd"/>
      <w:r w:rsidRPr="004E1F7C">
        <w:rPr>
          <w:rFonts w:ascii="Times New Roman" w:hAnsi="Times New Roman"/>
          <w:i/>
          <w:iCs/>
          <w:sz w:val="25"/>
          <w:szCs w:val="25"/>
        </w:rPr>
        <w:t xml:space="preserve"> szerinti jelzést követően ugyanarra a tényleges tulajdonosi adatra vonatkozó eltérésről 30 napon belül nem küldhet jelzést. </w:t>
      </w:r>
    </w:p>
    <w:p w14:paraId="05884F22" w14:textId="77777777" w:rsidR="00867256" w:rsidRDefault="00867256" w:rsidP="00867256">
      <w:pPr>
        <w:autoSpaceDE w:val="0"/>
        <w:autoSpaceDN w:val="0"/>
        <w:adjustRightInd w:val="0"/>
        <w:spacing w:after="0" w:line="240" w:lineRule="auto"/>
        <w:jc w:val="both"/>
        <w:rPr>
          <w:rFonts w:ascii="Times New Roman" w:hAnsi="Times New Roman"/>
          <w:sz w:val="25"/>
          <w:szCs w:val="25"/>
        </w:rPr>
      </w:pPr>
    </w:p>
    <w:p w14:paraId="595083D9" w14:textId="0B250D8A" w:rsidR="00867256" w:rsidRDefault="00867256" w:rsidP="00867256">
      <w:pPr>
        <w:autoSpaceDE w:val="0"/>
        <w:autoSpaceDN w:val="0"/>
        <w:adjustRightInd w:val="0"/>
        <w:spacing w:after="0" w:line="240" w:lineRule="auto"/>
        <w:jc w:val="both"/>
        <w:rPr>
          <w:rFonts w:ascii="Times New Roman" w:hAnsi="Times New Roman"/>
          <w:sz w:val="25"/>
          <w:szCs w:val="25"/>
        </w:rPr>
      </w:pPr>
    </w:p>
    <w:p w14:paraId="27852387" w14:textId="77777777" w:rsidR="00A44D89" w:rsidRPr="004E1F7C" w:rsidRDefault="00A44D89" w:rsidP="00867256">
      <w:pPr>
        <w:autoSpaceDE w:val="0"/>
        <w:autoSpaceDN w:val="0"/>
        <w:adjustRightInd w:val="0"/>
        <w:spacing w:after="0" w:line="240" w:lineRule="auto"/>
        <w:jc w:val="both"/>
        <w:rPr>
          <w:rFonts w:ascii="Times New Roman" w:hAnsi="Times New Roman"/>
          <w:sz w:val="25"/>
          <w:szCs w:val="25"/>
        </w:rPr>
      </w:pPr>
    </w:p>
    <w:p w14:paraId="00DEF407" w14:textId="77777777" w:rsidR="00867256" w:rsidRPr="004E1F7C" w:rsidRDefault="00867256" w:rsidP="00867256">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04445C01"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D8A5354"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könyvvizsgáló szolgáltató köteles megkövetelni az alábbi okiratok bemutatását, továbbá köteles ellenőrizni azok érvényességét, vagy jogosult közhiteles nyilvántartásból </w:t>
      </w:r>
      <w:proofErr w:type="spellStart"/>
      <w:r w:rsidRPr="004E1F7C">
        <w:rPr>
          <w:rFonts w:ascii="Times New Roman" w:hAnsi="Times New Roman"/>
          <w:sz w:val="25"/>
          <w:szCs w:val="25"/>
        </w:rPr>
        <w:t>adatlekérdezést</w:t>
      </w:r>
      <w:proofErr w:type="spellEnd"/>
      <w:r w:rsidRPr="004E1F7C">
        <w:rPr>
          <w:rFonts w:ascii="Times New Roman" w:hAnsi="Times New Roman"/>
          <w:sz w:val="25"/>
          <w:szCs w:val="25"/>
        </w:rPr>
        <w:t xml:space="preserve"> végezni:</w:t>
      </w:r>
    </w:p>
    <w:p w14:paraId="4EAB8EFF"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2699A02F" w14:textId="77777777" w:rsidR="00867256" w:rsidRPr="004E1F7C" w:rsidRDefault="00867256" w:rsidP="00867256">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Természetes személy képviselő esetén:</w:t>
      </w:r>
    </w:p>
    <w:p w14:paraId="6EA2F2DA" w14:textId="77777777" w:rsidR="00867256" w:rsidRPr="004E1F7C" w:rsidRDefault="00867256" w:rsidP="00867256">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magyar állampolgár személyazonosság igazolására alkalmas hatósági igazolványát és lakcímet igazoló hatósági igazolványát, ez utóbbit abban az esetben, ha lakóhelye vagy tartózkodási helye Magyarországon található,</w:t>
      </w:r>
    </w:p>
    <w:p w14:paraId="7C4B95D8" w14:textId="77777777" w:rsidR="00867256" w:rsidRPr="004E1F7C" w:rsidRDefault="00867256" w:rsidP="00867256">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7AC07B06" w14:textId="77777777" w:rsidR="00867256" w:rsidRPr="004E1F7C" w:rsidRDefault="00867256" w:rsidP="00867256">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453C8340" w14:textId="77777777" w:rsidR="00867256" w:rsidRPr="004E1F7C" w:rsidRDefault="00867256" w:rsidP="00867256">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3D8401A5" w14:textId="77777777" w:rsidR="00867256" w:rsidRPr="004E1F7C" w:rsidRDefault="00867256" w:rsidP="00867256">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C3FF727" w14:textId="77777777" w:rsidR="00867256" w:rsidRPr="004E1F7C" w:rsidRDefault="00867256" w:rsidP="00867256">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az előző pontba nem tartozó belföldi jogi személy esetén, ha annak létrejöttéhez hatósági vagy bírósági nyilvántartásba vétel szükséges, a nyilvántartásba vétel megtörtént,</w:t>
      </w:r>
    </w:p>
    <w:p w14:paraId="0CF94F57" w14:textId="77777777" w:rsidR="00867256" w:rsidRPr="004E1F7C" w:rsidRDefault="00867256" w:rsidP="00867256">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53656A9C" w14:textId="77777777" w:rsidR="00867256" w:rsidRPr="004E1F7C" w:rsidRDefault="00867256" w:rsidP="00867256">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w:t>
      </w:r>
      <w:r w:rsidRPr="004E1F7C">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74B7D0BD"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4ACFDC58" w14:textId="77777777" w:rsidR="00867256" w:rsidRPr="004E1F7C" w:rsidRDefault="00867256" w:rsidP="00867256">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cégbejegyzési, hatósági vagy bírósági nyilvántartásba vétel iránti kérelem cégbírósághoz, hatósághoz vagy bírósághoz történő benyújtását megelőzően a jogi </w:t>
      </w:r>
      <w:r w:rsidRPr="004E1F7C">
        <w:rPr>
          <w:rFonts w:ascii="Times New Roman" w:hAnsi="Times New Roman"/>
          <w:sz w:val="25"/>
          <w:szCs w:val="25"/>
        </w:rPr>
        <w:lastRenderedPageBreak/>
        <w:t>személy vagy jogi személyiséggel nem rendelkező szervezet létesítő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2344F536"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7FD8E8"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személyazonosság igazoló ellenőrzése érdekében a könyvvizsgáló szolgáltató köteles ellenőrizni a 10. pont alapján bemutatott azonosságot igazoló okirat érvényességét, valamint ennek keretében köteles meggyőződni az okirat hitelességéről.</w:t>
      </w:r>
    </w:p>
    <w:p w14:paraId="6EB11046"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19CA3F06"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személyazonosság igazoló ellenőrzése során ellenőrizni kell a meghatalmazott esetében a meghatalmazás érvényességét, a rendelkezésre jogosult rendelkezési jogosultságát, továbbá a képviselő képviseleti jogosultságát is.</w:t>
      </w:r>
    </w:p>
    <w:p w14:paraId="7EE08ABD"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07377265"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a 10-12. pontban meghatározott intézkedéseket auditált elektronikus hírközlő eszköz útján is elvégezheti. </w:t>
      </w:r>
    </w:p>
    <w:p w14:paraId="752C385F"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3C7B90BE"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személyazonosság igazoló ellenőrzése érdekében a 7. pontban meghatározott adatokat tartalmazó, a 10.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6B6CA927"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2A23F18" w14:textId="77777777" w:rsidR="00867256" w:rsidRPr="004E1F7C" w:rsidRDefault="00867256" w:rsidP="00867256">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7. § (8a)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655B545B" w14:textId="77777777" w:rsidR="00867256" w:rsidRPr="004E1F7C" w:rsidRDefault="00867256" w:rsidP="00867256">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7BC022B0" w14:textId="77777777" w:rsidR="00867256" w:rsidRPr="004E1F7C" w:rsidDel="003649B1" w:rsidRDefault="00867256" w:rsidP="00867256">
      <w:pPr>
        <w:pStyle w:val="Listaszerbekezds"/>
        <w:autoSpaceDE w:val="0"/>
        <w:autoSpaceDN w:val="0"/>
        <w:adjustRightInd w:val="0"/>
        <w:spacing w:after="0" w:line="240" w:lineRule="auto"/>
        <w:ind w:left="1021"/>
        <w:jc w:val="both"/>
        <w:rPr>
          <w:rFonts w:ascii="Times New Roman" w:hAnsi="Times New Roman"/>
          <w:sz w:val="25"/>
          <w:szCs w:val="25"/>
        </w:rPr>
      </w:pPr>
    </w:p>
    <w:p w14:paraId="14FFAEE7" w14:textId="77777777" w:rsidR="00867256" w:rsidRPr="004E1F7C" w:rsidRDefault="00867256" w:rsidP="00867256">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Amennyiben a könyvvizsgáló szolgáltató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p>
    <w:p w14:paraId="2FE59C3A"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6A71B6A"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 xml:space="preserve">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w:t>
      </w:r>
      <w:r w:rsidRPr="004E1F7C">
        <w:rPr>
          <w:rFonts w:ascii="Times New Roman" w:hAnsi="Times New Roman"/>
          <w:sz w:val="25"/>
          <w:szCs w:val="25"/>
        </w:rPr>
        <w:lastRenderedPageBreak/>
        <w:t>nyilvántartások, külföldi országok hatóságainak, hivatalos szerveinek honlapja, külföldi cégjegyzékek.</w:t>
      </w:r>
    </w:p>
    <w:p w14:paraId="23D369C8" w14:textId="39B0B4F4" w:rsidR="00867256" w:rsidRDefault="00867256" w:rsidP="00867256">
      <w:pPr>
        <w:autoSpaceDE w:val="0"/>
        <w:autoSpaceDN w:val="0"/>
        <w:adjustRightInd w:val="0"/>
        <w:spacing w:after="0" w:line="240" w:lineRule="auto"/>
        <w:jc w:val="both"/>
        <w:rPr>
          <w:rFonts w:ascii="Times New Roman" w:hAnsi="Times New Roman"/>
          <w:sz w:val="25"/>
          <w:szCs w:val="25"/>
        </w:rPr>
      </w:pPr>
    </w:p>
    <w:p w14:paraId="4B1AD659" w14:textId="77777777" w:rsidR="00A44D89" w:rsidRPr="004E1F7C" w:rsidRDefault="00A44D89" w:rsidP="00867256">
      <w:pPr>
        <w:autoSpaceDE w:val="0"/>
        <w:autoSpaceDN w:val="0"/>
        <w:adjustRightInd w:val="0"/>
        <w:spacing w:after="0" w:line="240" w:lineRule="auto"/>
        <w:jc w:val="both"/>
        <w:rPr>
          <w:rFonts w:ascii="Times New Roman" w:hAnsi="Times New Roman"/>
          <w:sz w:val="25"/>
          <w:szCs w:val="25"/>
        </w:rPr>
      </w:pPr>
    </w:p>
    <w:p w14:paraId="008DE0F2" w14:textId="77777777" w:rsidR="00867256" w:rsidRPr="004E1F7C" w:rsidRDefault="00867256" w:rsidP="00867256">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t>A tényleges tulajdonos azonosítása</w:t>
      </w:r>
    </w:p>
    <w:p w14:paraId="5DFB5BBC"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0EFB2181"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szervezet ügyfél képviselője - az ügyfél által vezetett pontos és naprakész nyilvántartás alapján – köteles írásban (2.2. számú. melléklet) vagy auditált elektronikus hírközlő eszköz útján nyilatkozni a jogi személy vagy jogi személyiséggel nem rendelkező szervezet ügyfél tényleges tulajdonosáról. </w:t>
      </w:r>
    </w:p>
    <w:p w14:paraId="53410783" w14:textId="77777777" w:rsidR="00867256" w:rsidRPr="004E1F7C" w:rsidRDefault="00867256" w:rsidP="00867256">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00CA0888"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a 16. pontban meghatározott nyilatkozatban a tényleges tulajdonosra vonatkozó alábbi adatok megadását köteles kérni:</w:t>
      </w:r>
    </w:p>
    <w:p w14:paraId="61B5F803"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CF8642F"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00281CE5"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1DE92B0D"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15254B7F"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52CE0AB9"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457E2EE7"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p>
    <w:p w14:paraId="14DA29A4" w14:textId="77777777" w:rsidR="00867256" w:rsidRPr="004E1F7C" w:rsidRDefault="00867256" w:rsidP="00867256">
      <w:pPr>
        <w:autoSpaceDE w:val="0"/>
        <w:autoSpaceDN w:val="0"/>
        <w:adjustRightInd w:val="0"/>
        <w:spacing w:after="0" w:line="240" w:lineRule="auto"/>
        <w:ind w:left="454"/>
        <w:jc w:val="both"/>
        <w:rPr>
          <w:rFonts w:ascii="Times New Roman" w:hAnsi="Times New Roman"/>
          <w:sz w:val="25"/>
          <w:szCs w:val="25"/>
        </w:rPr>
      </w:pPr>
    </w:p>
    <w:p w14:paraId="107C2444" w14:textId="77777777" w:rsidR="00867256" w:rsidRPr="004E1F7C" w:rsidRDefault="00867256" w:rsidP="00867256">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0587F436"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melyik rendelkezése alapján minősül közszereplőnek.</w:t>
      </w:r>
    </w:p>
    <w:p w14:paraId="4BB0753D"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B8E72C9"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szervezet ügyfél képviselője nyilatkozatában köteles minden,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3. § 38. pontjában foglaltaknak megfelelő természetes személyt feltüntetni tényleges tulajdonosként.</w:t>
      </w:r>
    </w:p>
    <w:p w14:paraId="32D669C1"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66A3D7B2"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4E1F7C">
        <w:rPr>
          <w:rFonts w:ascii="Times New Roman" w:hAnsi="Times New Roman"/>
          <w:strike/>
          <w:sz w:val="25"/>
          <w:szCs w:val="25"/>
        </w:rPr>
        <w:br/>
      </w:r>
      <w:r w:rsidRPr="004E1F7C">
        <w:rPr>
          <w:rFonts w:ascii="Times New Roman" w:hAnsi="Times New Roman"/>
          <w:sz w:val="25"/>
          <w:szCs w:val="25"/>
        </w:rPr>
        <w:t xml:space="preserve">A tényleges tulajdonos kilétével kapcsolatban – többek között – az alábbi esetekben merülhet fel kétség: </w:t>
      </w:r>
    </w:p>
    <w:p w14:paraId="3696A58D" w14:textId="77777777" w:rsidR="00867256" w:rsidRPr="004E1F7C" w:rsidRDefault="00867256" w:rsidP="00867256">
      <w:pPr>
        <w:pStyle w:val="Listaszerbekezds"/>
        <w:autoSpaceDE w:val="0"/>
        <w:autoSpaceDN w:val="0"/>
        <w:adjustRightInd w:val="0"/>
        <w:spacing w:after="0" w:line="240" w:lineRule="auto"/>
        <w:jc w:val="both"/>
        <w:rPr>
          <w:rFonts w:ascii="Times New Roman" w:hAnsi="Times New Roman"/>
          <w:sz w:val="25"/>
          <w:szCs w:val="25"/>
        </w:rPr>
      </w:pPr>
    </w:p>
    <w:p w14:paraId="4C59DC8D" w14:textId="77777777" w:rsidR="00867256" w:rsidRPr="004E1F7C" w:rsidRDefault="00867256" w:rsidP="00867256">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tulajdonost vált és az új tulajdonosok háttere, megjelenése összeegyeztethetetlen a tevékenységével, illetve a tulajdonosváltást követően az ügyfél pénzügyi tevékenysége hirtelen átalakul,</w:t>
      </w:r>
    </w:p>
    <w:p w14:paraId="2E6EEE42" w14:textId="77777777" w:rsidR="00867256" w:rsidRPr="004E1F7C" w:rsidRDefault="00867256" w:rsidP="00867256">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4E1F7C">
        <w:rPr>
          <w:rFonts w:ascii="Times New Roman" w:hAnsi="Times New Roman"/>
          <w:sz w:val="25"/>
          <w:szCs w:val="25"/>
        </w:rPr>
        <w:t>manager</w:t>
      </w:r>
      <w:proofErr w:type="spellEnd"/>
      <w:r w:rsidRPr="004E1F7C">
        <w:rPr>
          <w:rFonts w:ascii="Times New Roman" w:hAnsi="Times New Roman"/>
          <w:sz w:val="25"/>
          <w:szCs w:val="25"/>
        </w:rPr>
        <w:t>” stb. pozícióban lévő személyeket jelölték meg, vagy az internetes keresés során a megjelölt személy neve több céghez is köthető.</w:t>
      </w:r>
    </w:p>
    <w:p w14:paraId="70B71611"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AD67DF1"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51AA5274" w14:textId="77777777" w:rsidR="00867256" w:rsidRPr="004E1F7C" w:rsidRDefault="00867256" w:rsidP="00A44D89">
      <w:pPr>
        <w:autoSpaceDE w:val="0"/>
        <w:autoSpaceDN w:val="0"/>
        <w:adjustRightInd w:val="0"/>
        <w:spacing w:after="0" w:line="240" w:lineRule="auto"/>
        <w:ind w:left="567" w:firstLine="60"/>
        <w:jc w:val="both"/>
        <w:rPr>
          <w:rFonts w:ascii="Times New Roman" w:hAnsi="Times New Roman"/>
          <w:b/>
          <w:bCs/>
          <w:i/>
          <w:iCs/>
          <w:sz w:val="25"/>
          <w:szCs w:val="25"/>
        </w:rPr>
      </w:pPr>
    </w:p>
    <w:p w14:paraId="0E2A060F" w14:textId="77777777" w:rsidR="00867256" w:rsidRPr="004E1F7C" w:rsidRDefault="00867256" w:rsidP="00A44D89">
      <w:pPr>
        <w:autoSpaceDE w:val="0"/>
        <w:autoSpaceDN w:val="0"/>
        <w:adjustRightInd w:val="0"/>
        <w:spacing w:after="0" w:line="240" w:lineRule="auto"/>
        <w:ind w:left="567" w:hanging="567"/>
        <w:jc w:val="both"/>
        <w:rPr>
          <w:rFonts w:ascii="Times New Roman" w:hAnsi="Times New Roman"/>
          <w:i/>
          <w:iCs/>
          <w:sz w:val="25"/>
          <w:szCs w:val="25"/>
        </w:rPr>
      </w:pPr>
      <w:r w:rsidRPr="004E1F7C">
        <w:rPr>
          <w:rFonts w:ascii="Times New Roman" w:hAnsi="Times New Roman"/>
          <w:i/>
          <w:iCs/>
          <w:sz w:val="25"/>
          <w:szCs w:val="25"/>
        </w:rPr>
        <w:t>21/A.</w:t>
      </w:r>
      <w:r w:rsidRPr="004E1F7C">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9/A. pontjában rögzítettek az </w:t>
      </w:r>
      <w:proofErr w:type="spellStart"/>
      <w:r w:rsidRPr="004E1F7C">
        <w:rPr>
          <w:rFonts w:ascii="Times New Roman" w:hAnsi="Times New Roman"/>
          <w:i/>
          <w:iCs/>
          <w:sz w:val="25"/>
          <w:szCs w:val="25"/>
        </w:rPr>
        <w:t>irányadóak</w:t>
      </w:r>
      <w:proofErr w:type="spellEnd"/>
      <w:r w:rsidRPr="004E1F7C">
        <w:rPr>
          <w:rFonts w:ascii="Times New Roman" w:hAnsi="Times New Roman"/>
          <w:i/>
          <w:iCs/>
          <w:sz w:val="25"/>
          <w:szCs w:val="25"/>
        </w:rPr>
        <w:t>.</w:t>
      </w:r>
    </w:p>
    <w:p w14:paraId="7D371FB9"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6C8F7D7"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jogi személy vagy jogi személyiséggel nem rendelkező ügyfél képviselőjének 17-18. pont szerinti nyilatkoztatása mellőzhető, ha a könyvvizsgáló szolgáltató a 17-18 pontban meghatározott adatokat a részére bemutatott okiratok, valamint a tényleges tulajdonosi nyilvántartás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26D8C1DB" w14:textId="77777777" w:rsidR="00867256" w:rsidRPr="004E1F7C" w:rsidRDefault="00867256" w:rsidP="00867256">
      <w:pPr>
        <w:pStyle w:val="Listaszerbekezds"/>
        <w:rPr>
          <w:rFonts w:ascii="Times New Roman" w:hAnsi="Times New Roman"/>
          <w:sz w:val="25"/>
          <w:szCs w:val="25"/>
        </w:rPr>
      </w:pPr>
    </w:p>
    <w:p w14:paraId="6491C4B9"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szolgáltató köteles a 20- 22. pontban meghatározott intézkedések elvégzését követően az adatok rögzítésének dátumát is rögzíteni a nyilvántartásában. A könyvvizsgáló szolgáltató köteles nyilvántartást vezetni a tényleges tulajdonos azonosítása és személyazonosságának igazoló ellenőrzése érdekében megtett intézkedésekről.</w:t>
      </w:r>
    </w:p>
    <w:p w14:paraId="4734E910" w14:textId="77777777" w:rsidR="00867256" w:rsidRPr="004E1F7C" w:rsidRDefault="00867256" w:rsidP="00867256">
      <w:pPr>
        <w:pStyle w:val="Listaszerbekezds"/>
        <w:rPr>
          <w:rFonts w:ascii="Times New Roman" w:hAnsi="Times New Roman"/>
          <w:sz w:val="25"/>
          <w:szCs w:val="25"/>
        </w:rPr>
      </w:pPr>
    </w:p>
    <w:p w14:paraId="53DDEE51"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Ha a jogi személy vagy jogi személyiséggel nem rendelkező szervezet ügyfél tényleges tulajdonosa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040C7BA9" w14:textId="5F9DE8C6" w:rsidR="00867256" w:rsidRDefault="00867256" w:rsidP="00867256">
      <w:pPr>
        <w:autoSpaceDE w:val="0"/>
        <w:autoSpaceDN w:val="0"/>
        <w:adjustRightInd w:val="0"/>
        <w:spacing w:after="0" w:line="240" w:lineRule="auto"/>
        <w:jc w:val="both"/>
        <w:rPr>
          <w:rFonts w:ascii="Times New Roman" w:hAnsi="Times New Roman"/>
          <w:sz w:val="25"/>
          <w:szCs w:val="25"/>
        </w:rPr>
      </w:pPr>
    </w:p>
    <w:p w14:paraId="47F7E8F8" w14:textId="77777777" w:rsidR="00A44D89" w:rsidRPr="004E1F7C" w:rsidRDefault="00A44D89" w:rsidP="00867256">
      <w:pPr>
        <w:autoSpaceDE w:val="0"/>
        <w:autoSpaceDN w:val="0"/>
        <w:adjustRightInd w:val="0"/>
        <w:spacing w:after="0" w:line="240" w:lineRule="auto"/>
        <w:jc w:val="both"/>
        <w:rPr>
          <w:rFonts w:ascii="Times New Roman" w:hAnsi="Times New Roman"/>
          <w:sz w:val="25"/>
          <w:szCs w:val="25"/>
        </w:rPr>
      </w:pPr>
    </w:p>
    <w:p w14:paraId="6DF0BAE3" w14:textId="77777777" w:rsidR="00867256" w:rsidRPr="004E1F7C" w:rsidRDefault="00867256" w:rsidP="00867256">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t>Az üzleti kapcsolatra vonatkozóan rögzítendő adatok</w:t>
      </w:r>
    </w:p>
    <w:p w14:paraId="473E9505" w14:textId="77777777" w:rsidR="00867256" w:rsidRPr="004E1F7C" w:rsidRDefault="00867256" w:rsidP="00867256">
      <w:pPr>
        <w:pStyle w:val="Listaszerbekezds"/>
        <w:autoSpaceDE w:val="0"/>
        <w:autoSpaceDN w:val="0"/>
        <w:adjustRightInd w:val="0"/>
        <w:spacing w:after="0" w:line="240" w:lineRule="auto"/>
        <w:ind w:left="0"/>
        <w:jc w:val="both"/>
        <w:rPr>
          <w:rFonts w:ascii="Times New Roman" w:hAnsi="Times New Roman"/>
          <w:sz w:val="25"/>
          <w:szCs w:val="25"/>
        </w:rPr>
      </w:pPr>
    </w:p>
    <w:p w14:paraId="46E7B2B7"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köteles a 2. pontban meghatározott esetben az üzleti kapcsolatra vonatkozóan az alábbi adatokat köteles rögzíteni:</w:t>
      </w:r>
    </w:p>
    <w:p w14:paraId="41BFDE69"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szerződés típusát, tárgyát (a Kkt. 3. § (1) bekezdésének mely pontja szerinti könyvvizsgálói tevékenységre szól a szerződés), </w:t>
      </w:r>
    </w:p>
    <w:p w14:paraId="78C44A5E"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időtartamát,</w:t>
      </w:r>
    </w:p>
    <w:p w14:paraId="1D65EB64"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6A041CE3"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lastRenderedPageBreak/>
        <w:t>az ügyfél-átvilágítás módjának meghatározása érdekében azt, hogy az ügyfél kockázati szintje átlagos, magas vagy alacsony;</w:t>
      </w:r>
    </w:p>
    <w:p w14:paraId="3AD52E32"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1F5A0610"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5BA75BBE"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a 25. pontban meghatározott intézkedést elektronikus hírközlő eszköz útján is elvégezheti.</w:t>
      </w:r>
    </w:p>
    <w:p w14:paraId="3E777040" w14:textId="77777777" w:rsidR="00867256" w:rsidRPr="004E1F7C" w:rsidRDefault="00867256" w:rsidP="00867256">
      <w:pPr>
        <w:pStyle w:val="Listaszerbekezds"/>
        <w:autoSpaceDE w:val="0"/>
        <w:autoSpaceDN w:val="0"/>
        <w:adjustRightInd w:val="0"/>
        <w:spacing w:after="0" w:line="240" w:lineRule="auto"/>
        <w:ind w:left="360"/>
        <w:jc w:val="both"/>
        <w:rPr>
          <w:rFonts w:ascii="Times New Roman" w:hAnsi="Times New Roman"/>
          <w:sz w:val="25"/>
          <w:szCs w:val="25"/>
        </w:rPr>
      </w:pPr>
    </w:p>
    <w:p w14:paraId="071A1421"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szolgáltatónak a Kkt. 3. § (1) bekezdésében </w:t>
      </w:r>
      <w:proofErr w:type="spellStart"/>
      <w:r w:rsidRPr="004E1F7C">
        <w:rPr>
          <w:rFonts w:ascii="Times New Roman" w:hAnsi="Times New Roman"/>
          <w:sz w:val="25"/>
          <w:szCs w:val="25"/>
        </w:rPr>
        <w:t>körülírt</w:t>
      </w:r>
      <w:proofErr w:type="spellEnd"/>
      <w:r w:rsidRPr="004E1F7C">
        <w:rPr>
          <w:rFonts w:ascii="Times New Roman" w:hAnsi="Times New Roman"/>
          <w:sz w:val="25"/>
          <w:szCs w:val="25"/>
        </w:rPr>
        <w:t xml:space="preserve">,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szerinti lehetséges további </w:t>
      </w:r>
      <w:proofErr w:type="spellStart"/>
      <w:r w:rsidRPr="004E1F7C">
        <w:rPr>
          <w:rFonts w:ascii="Times New Roman" w:hAnsi="Times New Roman"/>
          <w:sz w:val="25"/>
          <w:szCs w:val="25"/>
        </w:rPr>
        <w:t>információkénti</w:t>
      </w:r>
      <w:proofErr w:type="spellEnd"/>
      <w:r w:rsidRPr="004E1F7C">
        <w:rPr>
          <w:rFonts w:ascii="Times New Roman" w:hAnsi="Times New Roman"/>
          <w:sz w:val="25"/>
          <w:szCs w:val="25"/>
        </w:rPr>
        <w:t xml:space="preserve"> bekérése jelen egységes szabályzat alkalmazásában nem értelmezhető.</w:t>
      </w:r>
    </w:p>
    <w:p w14:paraId="0E82F767"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5159F3D9" w14:textId="77777777" w:rsidR="00867256" w:rsidRPr="004E1F7C" w:rsidRDefault="00867256" w:rsidP="00867256">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4E1F7C">
        <w:rPr>
          <w:rFonts w:ascii="Times New Roman" w:hAnsi="Times New Roman"/>
          <w:sz w:val="25"/>
          <w:szCs w:val="25"/>
        </w:rPr>
        <w:t>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szolgáltatók esetében nem értelmezhető olyan üzleti kapcsolat létesítésére vonatkozó esetkörök meghatározása, amelyekre külön vezetői jóváhagyás esetén kerülhetne csak sor.</w:t>
      </w:r>
    </w:p>
    <w:p w14:paraId="4BA808A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860447D"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r w:rsidRPr="004E1F7C">
        <w:rPr>
          <w:rFonts w:ascii="Times New Roman" w:hAnsi="Times New Roman"/>
          <w:b/>
          <w:sz w:val="25"/>
          <w:szCs w:val="25"/>
        </w:rPr>
        <w:t>Nyilvántartás naprakészen tartása, monitoring</w:t>
      </w:r>
    </w:p>
    <w:p w14:paraId="70302FC5"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3A599E6"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030DAD74" w14:textId="77777777" w:rsidR="00867256" w:rsidRPr="004E1F7C" w:rsidRDefault="00867256" w:rsidP="00867256">
      <w:pPr>
        <w:pStyle w:val="Listaszerbekezds"/>
        <w:spacing w:after="0" w:line="240" w:lineRule="auto"/>
        <w:ind w:left="567"/>
        <w:jc w:val="both"/>
        <w:rPr>
          <w:rFonts w:ascii="Times New Roman" w:hAnsi="Times New Roman"/>
          <w:sz w:val="25"/>
          <w:szCs w:val="25"/>
        </w:rPr>
      </w:pPr>
    </w:p>
    <w:p w14:paraId="3EC3E4A7"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köteles biztosítani, hogy az ügyfélre és az üzleti kapcsolatra vonatkozóan a III. fejezet alapján rendelkezésre álló adatok és okiratok, valamint az ügyfél kockázati szintjének meghatározása naprakészek legyenek,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 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Pr="004E1F7C">
        <w:rPr>
          <w:rFonts w:ascii="Arial" w:hAnsi="Arial" w:cs="Arial"/>
          <w:sz w:val="21"/>
          <w:szCs w:val="21"/>
          <w:shd w:val="clear" w:color="auto" w:fill="FFFFFF"/>
        </w:rPr>
        <w:t xml:space="preserve">. </w:t>
      </w:r>
    </w:p>
    <w:p w14:paraId="7C27A645"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1822A07A"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lastRenderedPageBreak/>
        <w:t xml:space="preserve">Az ügyfél kockázati szintje ellenőrzését a szolgáltató az útmutató 1. számú mellékletének 1. pontjában meghatározott kockázati tényezők dokumentált értékelésével végzi. </w:t>
      </w:r>
    </w:p>
    <w:p w14:paraId="03732218"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72EFA7EA"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6F09BADC"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635277B1" w14:textId="77777777" w:rsidR="00867256" w:rsidRPr="004E1F7C" w:rsidRDefault="00867256" w:rsidP="00867256">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6DC69F2F" w14:textId="77777777" w:rsidR="00867256" w:rsidRPr="004E1F7C" w:rsidRDefault="00867256" w:rsidP="00867256">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 ezen kategória vonatkozásában jelen szabályzat szerint meghatározott ügyfél-átvilágítási intézkedéseket.</w:t>
      </w:r>
    </w:p>
    <w:p w14:paraId="77D5BEC3"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5E04463C"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65074E53" w14:textId="77777777" w:rsidR="00867256" w:rsidRPr="004E1F7C" w:rsidRDefault="00867256" w:rsidP="00A44D89">
      <w:pPr>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30/A.</w:t>
      </w:r>
      <w:r w:rsidRPr="004E1F7C">
        <w:rPr>
          <w:rFonts w:ascii="Times New Roman" w:hAnsi="Times New Roman"/>
          <w:i/>
          <w:iCs/>
          <w:sz w:val="25"/>
          <w:szCs w:val="25"/>
        </w:rPr>
        <w:tab/>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szerinti adataihoz. A tényleges tulajdonosi nyilvántartáshoz való hozzáférés és az azzal kapcsolatos jelzési kötelezettség tekintetében jelen szabályzat 9/A. pontjában rögzítettek az </w:t>
      </w:r>
      <w:proofErr w:type="spellStart"/>
      <w:r w:rsidRPr="004E1F7C">
        <w:rPr>
          <w:rFonts w:ascii="Times New Roman" w:hAnsi="Times New Roman"/>
          <w:i/>
          <w:iCs/>
          <w:sz w:val="25"/>
          <w:szCs w:val="25"/>
        </w:rPr>
        <w:t>irányadóak</w:t>
      </w:r>
      <w:proofErr w:type="spellEnd"/>
      <w:r w:rsidRPr="004E1F7C">
        <w:rPr>
          <w:rFonts w:ascii="Times New Roman" w:hAnsi="Times New Roman"/>
          <w:i/>
          <w:iCs/>
          <w:sz w:val="25"/>
          <w:szCs w:val="25"/>
        </w:rPr>
        <w:t>.</w:t>
      </w:r>
    </w:p>
    <w:p w14:paraId="6454C0E2" w14:textId="77777777" w:rsidR="00867256" w:rsidRPr="004E1F7C" w:rsidRDefault="00867256" w:rsidP="00867256">
      <w:pPr>
        <w:spacing w:after="0" w:line="240" w:lineRule="auto"/>
        <w:jc w:val="both"/>
        <w:rPr>
          <w:rFonts w:ascii="Times New Roman" w:hAnsi="Times New Roman"/>
          <w:sz w:val="25"/>
          <w:szCs w:val="25"/>
        </w:rPr>
      </w:pPr>
    </w:p>
    <w:p w14:paraId="22788C2C"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Az üzleti kapcsolat fennállása alatt az ügyfél, annak meghatalmazottja, a könyvvizsgáló szolgáltatónál eljáró rendelkezésre jogosult, továbbá a könyvvizsgáló szolgáltatónál eljáró képviselő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05A6474F" w14:textId="77777777" w:rsidR="00867256" w:rsidRPr="004E1F7C" w:rsidRDefault="00867256" w:rsidP="00867256">
      <w:pPr>
        <w:autoSpaceDE w:val="0"/>
        <w:autoSpaceDN w:val="0"/>
        <w:adjustRightInd w:val="0"/>
        <w:spacing w:after="0" w:line="240" w:lineRule="auto"/>
        <w:jc w:val="both"/>
        <w:rPr>
          <w:rFonts w:ascii="Times New Roman" w:hAnsi="Times New Roman" w:cs="Times New Roman"/>
          <w:sz w:val="25"/>
          <w:szCs w:val="25"/>
        </w:rPr>
      </w:pPr>
    </w:p>
    <w:p w14:paraId="570A5493" w14:textId="77777777" w:rsidR="00867256" w:rsidRPr="004E1F7C" w:rsidRDefault="00867256" w:rsidP="00867256">
      <w:pPr>
        <w:autoSpaceDE w:val="0"/>
        <w:autoSpaceDN w:val="0"/>
        <w:adjustRightInd w:val="0"/>
        <w:spacing w:after="0" w:line="240" w:lineRule="auto"/>
        <w:jc w:val="both"/>
        <w:rPr>
          <w:rFonts w:ascii="Times New Roman" w:hAnsi="Times New Roman" w:cs="Times New Roman"/>
          <w:sz w:val="25"/>
          <w:szCs w:val="25"/>
        </w:rPr>
      </w:pPr>
    </w:p>
    <w:p w14:paraId="425B720E" w14:textId="77777777" w:rsidR="00867256" w:rsidRPr="004E1F7C" w:rsidRDefault="00867256" w:rsidP="00867256">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 xml:space="preserve">Az üzleti kapcsolat létesítésének megtagadása, az üzleti kapcsolat megszüntetése, a szerződés teljesítésének megtagadása </w:t>
      </w:r>
    </w:p>
    <w:p w14:paraId="49335715" w14:textId="77777777" w:rsidR="00867256" w:rsidRPr="004E1F7C" w:rsidRDefault="00867256" w:rsidP="00867256">
      <w:pPr>
        <w:spacing w:after="0" w:line="240" w:lineRule="auto"/>
        <w:jc w:val="both"/>
        <w:rPr>
          <w:rFonts w:ascii="Times New Roman" w:eastAsia="Times New Roman" w:hAnsi="Times New Roman" w:cs="Times New Roman"/>
          <w:b/>
          <w:sz w:val="25"/>
          <w:szCs w:val="25"/>
          <w:lang w:eastAsia="hu-HU"/>
        </w:rPr>
      </w:pPr>
    </w:p>
    <w:p w14:paraId="51A08BDB"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Ha a könyvvizsgáló szolgáltató szerződéskötéskor nem tudja végrehajtani a III. fejezetben meghatározott ügyfél-átvilágítási intézkedéseket, vagy az ügyfélazonosító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1722387D" w14:textId="77777777" w:rsidR="00867256" w:rsidRPr="004E1F7C" w:rsidRDefault="00867256" w:rsidP="00867256">
      <w:pPr>
        <w:pStyle w:val="Listaszerbekezds"/>
        <w:autoSpaceDE w:val="0"/>
        <w:autoSpaceDN w:val="0"/>
        <w:adjustRightInd w:val="0"/>
        <w:spacing w:after="0" w:line="240" w:lineRule="auto"/>
        <w:ind w:left="425"/>
        <w:jc w:val="both"/>
        <w:rPr>
          <w:rFonts w:ascii="Times New Roman" w:hAnsi="Times New Roman"/>
          <w:sz w:val="25"/>
          <w:szCs w:val="25"/>
        </w:rPr>
      </w:pPr>
    </w:p>
    <w:p w14:paraId="16DDC46B"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32. pontban rögzítettek szerint kell eljárni abban az esetben is, ha az ügyfél a tényleges tulajdonosra vonatkozó nyilatkozatot megtagadja vagy a tényleges tulajdonos kilétével, személyazonosságával kapcsolatos kétség megnyugtatóan nem szűnik meg.</w:t>
      </w:r>
    </w:p>
    <w:p w14:paraId="54C4E867" w14:textId="77777777" w:rsidR="00867256" w:rsidRPr="004E1F7C" w:rsidRDefault="00867256" w:rsidP="00867256">
      <w:pPr>
        <w:pStyle w:val="Listaszerbekezds"/>
        <w:autoSpaceDE w:val="0"/>
        <w:autoSpaceDN w:val="0"/>
        <w:adjustRightInd w:val="0"/>
        <w:spacing w:after="0" w:line="240" w:lineRule="auto"/>
        <w:ind w:left="709"/>
        <w:jc w:val="both"/>
        <w:rPr>
          <w:rFonts w:ascii="Times New Roman" w:hAnsi="Times New Roman"/>
          <w:sz w:val="25"/>
          <w:szCs w:val="25"/>
        </w:rPr>
      </w:pPr>
    </w:p>
    <w:p w14:paraId="2114A5B7"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30261F58"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418D3FD8"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62D7293E"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73561F50"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9FC4090"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6D45C1EE"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82DBDB3"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12141AE3"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2858328F" w14:textId="77777777" w:rsidR="00867256" w:rsidRPr="004E1F7C" w:rsidRDefault="00867256" w:rsidP="00867256">
      <w:pPr>
        <w:pStyle w:val="Listaszerbekezds"/>
        <w:autoSpaceDE w:val="0"/>
        <w:autoSpaceDN w:val="0"/>
        <w:adjustRightInd w:val="0"/>
        <w:spacing w:after="0" w:line="240" w:lineRule="auto"/>
        <w:ind w:left="709"/>
        <w:jc w:val="both"/>
        <w:rPr>
          <w:rFonts w:ascii="Times New Roman" w:hAnsi="Times New Roman"/>
          <w:sz w:val="25"/>
          <w:szCs w:val="25"/>
        </w:rPr>
      </w:pPr>
    </w:p>
    <w:p w14:paraId="5A986559" w14:textId="77777777" w:rsidR="00867256" w:rsidRPr="004E1F7C" w:rsidRDefault="00867256" w:rsidP="00867256">
      <w:pPr>
        <w:pStyle w:val="Listaszerbekezds"/>
        <w:autoSpaceDE w:val="0"/>
        <w:autoSpaceDN w:val="0"/>
        <w:adjustRightInd w:val="0"/>
        <w:spacing w:after="0" w:line="240" w:lineRule="auto"/>
        <w:ind w:left="928"/>
        <w:jc w:val="both"/>
        <w:rPr>
          <w:rFonts w:ascii="Times New Roman" w:hAnsi="Times New Roman"/>
          <w:strike/>
          <w:sz w:val="25"/>
          <w:szCs w:val="25"/>
        </w:rPr>
      </w:pPr>
    </w:p>
    <w:p w14:paraId="2374F986" w14:textId="77777777" w:rsidR="00867256" w:rsidRPr="004E1F7C" w:rsidRDefault="00867256" w:rsidP="00867256">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59955CA0" w14:textId="77777777" w:rsidR="00867256" w:rsidRPr="004E1F7C" w:rsidRDefault="00867256" w:rsidP="00867256">
      <w:pPr>
        <w:pStyle w:val="Listaszerbekezds"/>
        <w:autoSpaceDE w:val="0"/>
        <w:autoSpaceDN w:val="0"/>
        <w:adjustRightInd w:val="0"/>
        <w:spacing w:after="0" w:line="240" w:lineRule="auto"/>
        <w:ind w:left="928"/>
        <w:jc w:val="both"/>
        <w:rPr>
          <w:rFonts w:ascii="Times New Roman" w:hAnsi="Times New Roman"/>
          <w:sz w:val="25"/>
          <w:szCs w:val="25"/>
        </w:rPr>
      </w:pPr>
    </w:p>
    <w:p w14:paraId="520F42E3"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Nem kell a III. részben meghatározott ügyfél-átvilágítási intézkedéseket ismételten elvégezni, ha a könyvvizsgáló szolgáltató</w:t>
      </w:r>
    </w:p>
    <w:p w14:paraId="2E85D35C" w14:textId="77777777" w:rsidR="00867256" w:rsidRPr="004E1F7C" w:rsidRDefault="00867256" w:rsidP="00867256">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intézkedéseket egyéb üzleti kapcsolat kapcsán már elvégezte;</w:t>
      </w:r>
    </w:p>
    <w:p w14:paraId="5F0A428B" w14:textId="77777777" w:rsidR="00867256" w:rsidRPr="004E1F7C" w:rsidRDefault="00867256" w:rsidP="00867256">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jelen üzleti kapcsolat kapcsán az ügyfél, továbbá a képviselő személyazonosságát a 7-13. pont alapján már megállapította, és</w:t>
      </w:r>
    </w:p>
    <w:p w14:paraId="27A7AB56" w14:textId="77777777" w:rsidR="00867256" w:rsidRPr="004E1F7C" w:rsidRDefault="00867256" w:rsidP="00867256">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6664B7BD" w14:textId="77777777" w:rsidR="00867256" w:rsidRPr="004E1F7C" w:rsidRDefault="00867256" w:rsidP="00867256">
      <w:pPr>
        <w:pStyle w:val="Listaszerbekezds"/>
        <w:autoSpaceDE w:val="0"/>
        <w:autoSpaceDN w:val="0"/>
        <w:adjustRightInd w:val="0"/>
        <w:spacing w:after="0" w:line="240" w:lineRule="auto"/>
        <w:ind w:left="1648"/>
        <w:jc w:val="both"/>
        <w:rPr>
          <w:rFonts w:ascii="Times New Roman" w:hAnsi="Times New Roman"/>
          <w:sz w:val="25"/>
          <w:szCs w:val="25"/>
        </w:rPr>
      </w:pPr>
    </w:p>
    <w:p w14:paraId="40E9C206"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szolgáltatónak rögzítenie kell a 36. pontban részletezett körülményeket.</w:t>
      </w:r>
    </w:p>
    <w:p w14:paraId="62C53D64"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3D0FDAB"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3A068E1"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ügyfél-átvilágítási intézkedések</w:t>
      </w:r>
    </w:p>
    <w:p w14:paraId="7BE45ED2"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3168B64"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szolgáltató jogosult elfogadni a III. részben meghatározott ügyfél-átvilágítás eredményét, ha az ügyfél-átvilágítást</w:t>
      </w:r>
    </w:p>
    <w:p w14:paraId="12EE1A6D" w14:textId="77777777" w:rsidR="00867256" w:rsidRPr="004E1F7C" w:rsidRDefault="00867256" w:rsidP="00867256">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537889B0" w14:textId="77777777" w:rsidR="00867256" w:rsidRPr="004E1F7C" w:rsidRDefault="00867256" w:rsidP="00867256">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harmadik országban székhellyel, fiókteleppel vagy telephellyel rendelkező szolgáltató végezte el, amely megfelel a jelen szabályzat 40. pontjában meghatározott követelményeknek.</w:t>
      </w:r>
    </w:p>
    <w:p w14:paraId="5246F75C" w14:textId="77777777" w:rsidR="00867256" w:rsidRPr="004E1F7C" w:rsidRDefault="00867256" w:rsidP="00867256">
      <w:pPr>
        <w:pStyle w:val="Listaszerbekezds"/>
        <w:spacing w:after="0" w:line="240" w:lineRule="auto"/>
        <w:ind w:left="879"/>
        <w:jc w:val="both"/>
        <w:rPr>
          <w:rFonts w:ascii="Times New Roman" w:hAnsi="Times New Roman"/>
          <w:sz w:val="25"/>
          <w:szCs w:val="25"/>
        </w:rPr>
      </w:pPr>
    </w:p>
    <w:p w14:paraId="078C56C6"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38. pontban meghatározott ügyfél-átvilágítás eredménye elfogadásának nem jelenti akadályát, ha a követelmények alapját képező okiratok és adatok köre nem egyezik meg az e törvényben meghatározottakkal.</w:t>
      </w:r>
    </w:p>
    <w:p w14:paraId="2DE98EF2"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741DA969"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 el a 38.  pontban meghatározottak szerint, ha a szolgáltató</w:t>
      </w:r>
    </w:p>
    <w:p w14:paraId="30F916A2" w14:textId="77777777" w:rsidR="00867256" w:rsidRPr="004E1F7C" w:rsidRDefault="00867256" w:rsidP="00867256">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megállapított vagy azokkal egyenértékű ügyfél-átvilágítási és nyilvántartási követelményeket alkalmaz, és felügyeletére is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megállapított vagy azokkal egyenértékű követelmények szerint kerül sor, vagy</w:t>
      </w:r>
    </w:p>
    <w:p w14:paraId="5EE6177F" w14:textId="77777777" w:rsidR="00867256" w:rsidRPr="004E1F7C" w:rsidRDefault="00867256" w:rsidP="00867256">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meghatározottakkal egyenértékű követelményeket ír elő.</w:t>
      </w:r>
    </w:p>
    <w:p w14:paraId="3C204A6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53EB0997" w14:textId="01601C3F" w:rsidR="00867256" w:rsidRPr="00A44D89" w:rsidRDefault="00867256" w:rsidP="00A44D89">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 csoportszintű politikáknak és eljárásoknak.</w:t>
      </w:r>
    </w:p>
    <w:p w14:paraId="7ADBD0C6"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38-40. pontban meghatározott esetben az ügyfél-átvilágítási kötelezettség teljesítése vonatkozásában a felelősség az ügyfélátvilágítás eredményét elfogadó könyvvizsgáló szolgáltatót terheli.</w:t>
      </w:r>
    </w:p>
    <w:p w14:paraId="5DE543D9" w14:textId="77777777" w:rsidR="00867256" w:rsidRPr="00CC6A65" w:rsidRDefault="00867256" w:rsidP="00867256">
      <w:pPr>
        <w:pStyle w:val="Listaszerbekezds"/>
        <w:spacing w:after="0" w:line="240" w:lineRule="auto"/>
        <w:ind w:left="851"/>
        <w:jc w:val="both"/>
        <w:rPr>
          <w:rFonts w:ascii="Times New Roman" w:hAnsi="Times New Roman"/>
          <w:sz w:val="20"/>
          <w:szCs w:val="20"/>
        </w:rPr>
      </w:pPr>
    </w:p>
    <w:p w14:paraId="3F68C8DA"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31EE380D" w14:textId="77777777" w:rsidR="00867256" w:rsidRPr="00CC6A65" w:rsidRDefault="00867256" w:rsidP="00867256">
      <w:pPr>
        <w:spacing w:after="0" w:line="240" w:lineRule="auto"/>
        <w:jc w:val="both"/>
        <w:rPr>
          <w:rFonts w:ascii="Times New Roman" w:hAnsi="Times New Roman"/>
          <w:sz w:val="20"/>
          <w:szCs w:val="20"/>
        </w:rPr>
      </w:pPr>
    </w:p>
    <w:p w14:paraId="1AE910EF"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Amennyiben az ügyfél-átvilágítást lefolytató szolgáltató és az ügyfélátvilágítás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könyvvizsgáló szolgáltató rendelkezésére bocsátani.</w:t>
      </w:r>
    </w:p>
    <w:p w14:paraId="7A3B5BDD" w14:textId="77777777" w:rsidR="00867256" w:rsidRDefault="00867256" w:rsidP="00867256">
      <w:pPr>
        <w:spacing w:after="0" w:line="240" w:lineRule="auto"/>
        <w:jc w:val="both"/>
        <w:rPr>
          <w:rFonts w:ascii="Times New Roman" w:eastAsia="Times New Roman" w:hAnsi="Times New Roman" w:cs="Times New Roman"/>
          <w:sz w:val="25"/>
          <w:szCs w:val="25"/>
          <w:lang w:eastAsia="hu-HU"/>
        </w:rPr>
      </w:pPr>
    </w:p>
    <w:p w14:paraId="52403295"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3E15D5E"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Egyszerűsített és fokozott ügyfél-átvilágítás</w:t>
      </w:r>
    </w:p>
    <w:p w14:paraId="77C78D7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3D8A7EB9"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t xml:space="preserve">A könyvvizsgáló szolgáltató az ügyfél-átvilágítás módjának (normál, egyszerűsített vagy fokozott ügyfél-átvilágítás) meghatározása során </w:t>
      </w:r>
      <w:r w:rsidRPr="004E1F7C">
        <w:rPr>
          <w:rFonts w:ascii="Times New Roman" w:hAnsi="Times New Roman"/>
          <w:iCs/>
          <w:sz w:val="25"/>
          <w:szCs w:val="25"/>
        </w:rPr>
        <w:t>az útmutató 1. számú mellékletének 1. pontjában meghatározott kockázati tényezőket dokumentáltan értékeli és az alábbiak szerint sorolja kockázati kategóriába az ügyfelet:</w:t>
      </w:r>
    </w:p>
    <w:p w14:paraId="052C421F" w14:textId="77777777" w:rsidR="00867256" w:rsidRPr="004E1F7C" w:rsidRDefault="00867256" w:rsidP="00867256">
      <w:pPr>
        <w:pStyle w:val="Listaszerbekezds"/>
        <w:spacing w:after="0" w:line="240" w:lineRule="auto"/>
        <w:ind w:left="567"/>
        <w:jc w:val="both"/>
        <w:rPr>
          <w:rFonts w:ascii="Times New Roman" w:hAnsi="Times New Roman"/>
          <w:iCs/>
          <w:sz w:val="25"/>
          <w:szCs w:val="25"/>
        </w:rPr>
      </w:pPr>
    </w:p>
    <w:p w14:paraId="0DF15A9C" w14:textId="77777777" w:rsidR="00867256" w:rsidRPr="004E1F7C" w:rsidRDefault="00867256" w:rsidP="00867256">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 xml:space="preserve">amennyiben az ügyfél vonatkozásában egyetlen </w:t>
      </w:r>
      <w:proofErr w:type="spellStart"/>
      <w:r w:rsidRPr="004E1F7C">
        <w:rPr>
          <w:rFonts w:ascii="Times New Roman" w:hAnsi="Times New Roman"/>
          <w:iCs/>
          <w:sz w:val="25"/>
          <w:szCs w:val="25"/>
        </w:rPr>
        <w:t>előzőek</w:t>
      </w:r>
      <w:proofErr w:type="spellEnd"/>
      <w:r w:rsidRPr="004E1F7C">
        <w:rPr>
          <w:rFonts w:ascii="Times New Roman" w:hAnsi="Times New Roman"/>
          <w:iCs/>
          <w:sz w:val="25"/>
          <w:szCs w:val="25"/>
        </w:rPr>
        <w:t xml:space="preserve"> szerinti kockázati tényező sem áll fenn és az ügyfél a 46. pontban meghatározott szervezet, úgy a könyvvizsgáló szolgáltató az ügyfelet alacsony kockázati kategóriába sorolja és egyszerűsített ügyfél-átvilágítást alkalmaz.</w:t>
      </w:r>
    </w:p>
    <w:p w14:paraId="7F2DC0C0" w14:textId="77777777" w:rsidR="00867256" w:rsidRPr="004E1F7C" w:rsidRDefault="00867256" w:rsidP="00867256">
      <w:pPr>
        <w:pStyle w:val="Listaszerbekezds"/>
        <w:spacing w:after="0" w:line="240" w:lineRule="auto"/>
        <w:ind w:left="1287"/>
        <w:jc w:val="both"/>
        <w:rPr>
          <w:rFonts w:ascii="Times New Roman" w:hAnsi="Times New Roman"/>
          <w:iCs/>
          <w:sz w:val="25"/>
          <w:szCs w:val="25"/>
        </w:rPr>
      </w:pPr>
    </w:p>
    <w:p w14:paraId="19487ACA" w14:textId="77777777" w:rsidR="00867256" w:rsidRPr="004E1F7C" w:rsidRDefault="00867256" w:rsidP="00867256">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lastRenderedPageBreak/>
        <w:t xml:space="preserve">amennyiben az ügyfél vonatkozásában egyetlen </w:t>
      </w:r>
      <w:proofErr w:type="spellStart"/>
      <w:r w:rsidRPr="004E1F7C">
        <w:rPr>
          <w:rFonts w:ascii="Times New Roman" w:hAnsi="Times New Roman"/>
          <w:iCs/>
          <w:sz w:val="25"/>
          <w:szCs w:val="25"/>
        </w:rPr>
        <w:t>előzőek</w:t>
      </w:r>
      <w:proofErr w:type="spellEnd"/>
      <w:r w:rsidRPr="004E1F7C">
        <w:rPr>
          <w:rFonts w:ascii="Times New Roman" w:hAnsi="Times New Roman"/>
          <w:iCs/>
          <w:sz w:val="25"/>
          <w:szCs w:val="25"/>
        </w:rPr>
        <w:t xml:space="preserve"> szerinti kockázati tényező sem áll fenn és az ügyfél nem a 46. pontban meghatározott szervezet, úgy a könyvvizsgáló szolgáltató az ügyfelet normál kockázati kategóriába sorolja és a III. pontban rögzített ügyfél-átvilágítási intézkedéseket alkalmazza.</w:t>
      </w:r>
    </w:p>
    <w:p w14:paraId="0C9B66BC" w14:textId="77777777" w:rsidR="00867256" w:rsidRPr="00CC6A65" w:rsidRDefault="00867256" w:rsidP="00867256">
      <w:pPr>
        <w:pStyle w:val="Listaszerbekezds"/>
        <w:spacing w:after="0" w:line="240" w:lineRule="auto"/>
        <w:ind w:left="1287"/>
        <w:jc w:val="both"/>
        <w:rPr>
          <w:rFonts w:ascii="Times New Roman" w:hAnsi="Times New Roman"/>
          <w:iCs/>
          <w:sz w:val="20"/>
          <w:szCs w:val="20"/>
        </w:rPr>
      </w:pPr>
    </w:p>
    <w:p w14:paraId="40C0FB7C" w14:textId="77777777" w:rsidR="00867256" w:rsidRPr="004E1F7C" w:rsidRDefault="00867256" w:rsidP="00867256">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 xml:space="preserve">amennyiben az ügyfél vonatkozásában az </w:t>
      </w:r>
      <w:proofErr w:type="spellStart"/>
      <w:r w:rsidRPr="004E1F7C">
        <w:rPr>
          <w:rFonts w:ascii="Times New Roman" w:hAnsi="Times New Roman"/>
          <w:iCs/>
          <w:sz w:val="25"/>
          <w:szCs w:val="25"/>
        </w:rPr>
        <w:t>előzőek</w:t>
      </w:r>
      <w:proofErr w:type="spellEnd"/>
      <w:r w:rsidRPr="004E1F7C">
        <w:rPr>
          <w:rFonts w:ascii="Times New Roman" w:hAnsi="Times New Roman"/>
          <w:iCs/>
          <w:sz w:val="25"/>
          <w:szCs w:val="25"/>
        </w:rPr>
        <w:t xml:space="preserve"> szerinti kockázati tényezők, vagy a 46. pontban meghatározott körülmények </w:t>
      </w:r>
      <w:proofErr w:type="spellStart"/>
      <w:r w:rsidRPr="004E1F7C">
        <w:rPr>
          <w:rFonts w:ascii="Times New Roman" w:hAnsi="Times New Roman"/>
          <w:iCs/>
          <w:sz w:val="25"/>
          <w:szCs w:val="25"/>
        </w:rPr>
        <w:t>bármelyike</w:t>
      </w:r>
      <w:proofErr w:type="spellEnd"/>
      <w:r w:rsidRPr="004E1F7C">
        <w:rPr>
          <w:rFonts w:ascii="Times New Roman" w:hAnsi="Times New Roman"/>
          <w:iCs/>
          <w:sz w:val="25"/>
          <w:szCs w:val="25"/>
        </w:rPr>
        <w:t xml:space="preserve"> fennáll, úgy a könyvvizsgáló szolgáltató az ügyfelet magas kockázati kategóriába sorolja és fokozott ügyfél-átvilágítást alkalmaz.</w:t>
      </w:r>
    </w:p>
    <w:p w14:paraId="467C9EEF" w14:textId="77777777" w:rsidR="00867256" w:rsidRPr="00CC6A65" w:rsidRDefault="00867256" w:rsidP="00867256">
      <w:pPr>
        <w:spacing w:after="0" w:line="240" w:lineRule="auto"/>
        <w:jc w:val="both"/>
        <w:rPr>
          <w:rFonts w:ascii="Times New Roman" w:hAnsi="Times New Roman"/>
        </w:rPr>
      </w:pPr>
    </w:p>
    <w:p w14:paraId="50E5395B" w14:textId="4E57ECFB" w:rsidR="00867256" w:rsidRPr="004E1F7C" w:rsidRDefault="00867256" w:rsidP="00CC6A65">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04D6435C" w14:textId="77777777" w:rsidR="00867256" w:rsidRPr="004E1F7C" w:rsidRDefault="00867256" w:rsidP="00867256">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t>VIII/1.</w:t>
      </w:r>
      <w:r w:rsidRPr="004E1F7C">
        <w:rPr>
          <w:rFonts w:ascii="Times New Roman" w:hAnsi="Times New Roman"/>
          <w:b/>
          <w:sz w:val="25"/>
          <w:szCs w:val="25"/>
        </w:rPr>
        <w:tab/>
        <w:t>Egyszerűsített ügyfél-átvilágítás</w:t>
      </w:r>
    </w:p>
    <w:p w14:paraId="2AE2D818" w14:textId="77777777" w:rsidR="00867256" w:rsidRPr="004E1F7C" w:rsidRDefault="00867256" w:rsidP="00867256">
      <w:pPr>
        <w:spacing w:after="0" w:line="240" w:lineRule="auto"/>
        <w:jc w:val="both"/>
        <w:rPr>
          <w:rFonts w:ascii="Times New Roman" w:hAnsi="Times New Roman"/>
          <w:sz w:val="25"/>
          <w:szCs w:val="25"/>
        </w:rPr>
      </w:pPr>
    </w:p>
    <w:p w14:paraId="5B88E8FC"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2E5EE457" w14:textId="77777777" w:rsidR="00867256" w:rsidRPr="004E1F7C" w:rsidRDefault="00867256" w:rsidP="00867256">
      <w:pPr>
        <w:pStyle w:val="Listaszerbekezds"/>
        <w:autoSpaceDE w:val="0"/>
        <w:autoSpaceDN w:val="0"/>
        <w:adjustRightInd w:val="0"/>
        <w:spacing w:after="0" w:line="240" w:lineRule="auto"/>
        <w:ind w:left="360"/>
        <w:jc w:val="both"/>
        <w:rPr>
          <w:rFonts w:ascii="Times New Roman" w:hAnsi="Times New Roman"/>
          <w:sz w:val="25"/>
          <w:szCs w:val="25"/>
        </w:rPr>
      </w:pPr>
    </w:p>
    <w:p w14:paraId="096A9A73" w14:textId="77777777" w:rsidR="00867256" w:rsidRPr="004E1F7C" w:rsidRDefault="00867256" w:rsidP="00867256">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59B3F422" w14:textId="77777777" w:rsidR="00867256" w:rsidRPr="004E1F7C" w:rsidRDefault="00867256" w:rsidP="00867256">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7A9ABB1"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 § (1) bekezdésének a)-e) pontjában meghatározott, az Európai Unió területén székhellyel rendelkező szolgáltató, vagy olyan, harmadik országban székhellyel rendelkező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 § (1) bekezdésének a)-e pontjában megjelölt – szolgáltató, amelyre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meghatározottakkal egyenértékű követelmények vonatkoznak, és amely ezek betartása tekintetében felügyelet alatt áll,</w:t>
      </w:r>
    </w:p>
    <w:p w14:paraId="732CA25A"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125D5CF8"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 felügyeletet ellátó szerv,</w:t>
      </w:r>
    </w:p>
    <w:p w14:paraId="22C45CC1"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6227169A"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109AFE85" w14:textId="77777777" w:rsidR="00867256" w:rsidRPr="004E1F7C" w:rsidRDefault="00867256" w:rsidP="00867256">
      <w:pPr>
        <w:pStyle w:val="Listaszerbekezds"/>
        <w:autoSpaceDE w:val="0"/>
        <w:autoSpaceDN w:val="0"/>
        <w:adjustRightInd w:val="0"/>
        <w:spacing w:after="0" w:line="240" w:lineRule="auto"/>
        <w:ind w:left="1418"/>
        <w:jc w:val="both"/>
        <w:rPr>
          <w:rFonts w:ascii="Times New Roman" w:hAnsi="Times New Roman"/>
          <w:sz w:val="25"/>
          <w:szCs w:val="25"/>
        </w:rPr>
      </w:pPr>
    </w:p>
    <w:p w14:paraId="2522EF5D"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 köteles:</w:t>
      </w:r>
    </w:p>
    <w:p w14:paraId="48457B5B" w14:textId="77777777" w:rsidR="00867256" w:rsidRPr="004E1F7C" w:rsidRDefault="00867256" w:rsidP="00867256">
      <w:pPr>
        <w:pStyle w:val="Listaszerbekezds"/>
        <w:autoSpaceDE w:val="0"/>
        <w:autoSpaceDN w:val="0"/>
        <w:adjustRightInd w:val="0"/>
        <w:spacing w:after="0" w:line="240" w:lineRule="auto"/>
        <w:ind w:left="425"/>
        <w:jc w:val="both"/>
        <w:rPr>
          <w:rFonts w:ascii="Times New Roman" w:hAnsi="Times New Roman"/>
          <w:sz w:val="25"/>
          <w:szCs w:val="25"/>
        </w:rPr>
      </w:pPr>
    </w:p>
    <w:p w14:paraId="2C9A3138"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Az azonosítás során: </w:t>
      </w:r>
    </w:p>
    <w:p w14:paraId="325EFF0C" w14:textId="77777777" w:rsidR="00867256" w:rsidRPr="004E1F7C" w:rsidRDefault="00867256" w:rsidP="00867256">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az ügyfél természetes személy képviselőjének azonosítása során a természetes személy legalább 7. pont </w:t>
      </w: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és </w:t>
      </w:r>
      <w:proofErr w:type="spellStart"/>
      <w:r w:rsidRPr="004E1F7C">
        <w:rPr>
          <w:rFonts w:ascii="Times New Roman" w:hAnsi="Times New Roman"/>
          <w:sz w:val="25"/>
          <w:szCs w:val="25"/>
        </w:rPr>
        <w:t>ag</w:t>
      </w:r>
      <w:proofErr w:type="spellEnd"/>
      <w:r w:rsidRPr="004E1F7C">
        <w:rPr>
          <w:rFonts w:ascii="Times New Roman" w:hAnsi="Times New Roman"/>
          <w:sz w:val="25"/>
          <w:szCs w:val="25"/>
        </w:rPr>
        <w:t>) pontokban meghatározott adatokat rögzítésére, valamint ezen adatokon túlmenően kockázatérzékenységi megközelítés alapján a 7. § (2) bekezdés a) pont ab), ad)–</w:t>
      </w:r>
      <w:proofErr w:type="spellStart"/>
      <w:r w:rsidRPr="004E1F7C">
        <w:rPr>
          <w:rFonts w:ascii="Times New Roman" w:hAnsi="Times New Roman"/>
          <w:sz w:val="25"/>
          <w:szCs w:val="25"/>
        </w:rPr>
        <w:t>ae</w:t>
      </w:r>
      <w:proofErr w:type="spellEnd"/>
      <w:r w:rsidRPr="004E1F7C">
        <w:rPr>
          <w:rFonts w:ascii="Times New Roman" w:hAnsi="Times New Roman"/>
          <w:sz w:val="25"/>
          <w:szCs w:val="25"/>
        </w:rPr>
        <w:t>) alpontjában meghatározott adatokat rögzítheti</w:t>
      </w:r>
    </w:p>
    <w:p w14:paraId="016B30B3" w14:textId="77777777" w:rsidR="00867256" w:rsidRPr="004E1F7C" w:rsidRDefault="00867256" w:rsidP="00867256">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lastRenderedPageBreak/>
        <w:t xml:space="preserve">ab) jogi személy vagy jogi személyiséggel nem rendelkező szervezet ügyfél esetében legalább a 7. pont b) </w:t>
      </w:r>
      <w:proofErr w:type="spellStart"/>
      <w:r w:rsidRPr="004E1F7C">
        <w:rPr>
          <w:rFonts w:ascii="Times New Roman" w:hAnsi="Times New Roman"/>
          <w:sz w:val="25"/>
          <w:szCs w:val="25"/>
        </w:rPr>
        <w:t>bb</w:t>
      </w:r>
      <w:proofErr w:type="spellEnd"/>
      <w:r w:rsidRPr="004E1F7C">
        <w:rPr>
          <w:rFonts w:ascii="Times New Roman" w:hAnsi="Times New Roman"/>
          <w:sz w:val="25"/>
          <w:szCs w:val="25"/>
        </w:rPr>
        <w:t xml:space="preserve">) és </w:t>
      </w: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r w:rsidRPr="004E1F7C">
        <w:rPr>
          <w:rFonts w:ascii="Times New Roman" w:hAnsi="Times New Roman"/>
          <w:sz w:val="25"/>
          <w:szCs w:val="25"/>
        </w:rPr>
        <w:t>pontbc</w:t>
      </w:r>
      <w:proofErr w:type="spellEnd"/>
      <w:r w:rsidRPr="004E1F7C">
        <w:rPr>
          <w:rFonts w:ascii="Times New Roman" w:hAnsi="Times New Roman"/>
          <w:sz w:val="25"/>
          <w:szCs w:val="25"/>
        </w:rPr>
        <w:t xml:space="preserve">)–be) és </w:t>
      </w:r>
      <w:proofErr w:type="spellStart"/>
      <w:r w:rsidRPr="004E1F7C">
        <w:rPr>
          <w:rFonts w:ascii="Times New Roman" w:hAnsi="Times New Roman"/>
          <w:sz w:val="25"/>
          <w:szCs w:val="25"/>
        </w:rPr>
        <w:t>bg</w:t>
      </w:r>
      <w:proofErr w:type="spellEnd"/>
      <w:r w:rsidRPr="004E1F7C">
        <w:rPr>
          <w:rFonts w:ascii="Times New Roman" w:hAnsi="Times New Roman"/>
          <w:sz w:val="25"/>
          <w:szCs w:val="25"/>
        </w:rPr>
        <w:t>) alpontjában meghatározott adatokat rögzítheti;</w:t>
      </w:r>
    </w:p>
    <w:p w14:paraId="0838057E" w14:textId="77777777" w:rsidR="00867256" w:rsidRPr="004E1F7C" w:rsidRDefault="00867256" w:rsidP="00867256">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 a 10. pontban meghatározott okiratok másolatának beszerzésére a személyazonosság igazoló ellenőrzése érdekében vagy közhiteles nyilvántartásból adatlekérést végezni és annak eredményét rögzíteni és nyilvántartani;</w:t>
      </w:r>
    </w:p>
    <w:p w14:paraId="68376AAB" w14:textId="77777777" w:rsidR="00867256" w:rsidRPr="004E1F7C" w:rsidRDefault="00867256" w:rsidP="00867256">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c)  a tényleges tulajdonos kilétével kapcsolatban meghatározott eljárások elvégzésére;</w:t>
      </w:r>
    </w:p>
    <w:p w14:paraId="31041ACB" w14:textId="77777777" w:rsidR="00867256" w:rsidRPr="004E1F7C" w:rsidRDefault="00867256" w:rsidP="00867256">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d) a kiemelt közszereplői jelleg meghatározásával kapcsolatos eljárások elvégzésére</w:t>
      </w:r>
    </w:p>
    <w:p w14:paraId="0584B8DD" w14:textId="415B39B4" w:rsidR="00867256" w:rsidRDefault="00867256" w:rsidP="00867256">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e) a monitoring kötelezettségek elvégzésére</w:t>
      </w:r>
    </w:p>
    <w:p w14:paraId="63C173FF" w14:textId="77777777" w:rsidR="00CC6A65" w:rsidRPr="004E1F7C" w:rsidRDefault="00CC6A65" w:rsidP="00867256">
      <w:pPr>
        <w:shd w:val="clear" w:color="auto" w:fill="FFFFFF"/>
        <w:spacing w:after="0" w:line="240" w:lineRule="auto"/>
        <w:ind w:firstLine="708"/>
        <w:jc w:val="both"/>
        <w:rPr>
          <w:rFonts w:ascii="Times New Roman" w:hAnsi="Times New Roman"/>
          <w:sz w:val="25"/>
          <w:szCs w:val="25"/>
        </w:rPr>
      </w:pPr>
    </w:p>
    <w:p w14:paraId="4FB4A4F7" w14:textId="77777777" w:rsidR="00867256" w:rsidRPr="004E1F7C" w:rsidRDefault="00867256" w:rsidP="00867256">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 A könyvvizsgáló szolgáltató az üzleti kapcsolat létesítése előtt köteles elvégezni A) pont a)–d) pontjaiban meghatározott ügyfél-átvilágítási intézkedéseket.</w:t>
      </w:r>
    </w:p>
    <w:p w14:paraId="602977C9" w14:textId="77777777" w:rsidR="00867256" w:rsidRPr="004E1F7C" w:rsidRDefault="00867256" w:rsidP="00867256">
      <w:pPr>
        <w:shd w:val="clear" w:color="auto" w:fill="FFFFFF"/>
        <w:spacing w:after="0" w:line="240" w:lineRule="auto"/>
        <w:jc w:val="both"/>
        <w:rPr>
          <w:rFonts w:ascii="Times New Roman" w:eastAsia="Times New Roman" w:hAnsi="Times New Roman" w:cs="Times New Roman"/>
          <w:sz w:val="25"/>
          <w:szCs w:val="25"/>
          <w:lang w:eastAsia="hu-HU"/>
        </w:rPr>
      </w:pPr>
    </w:p>
    <w:p w14:paraId="31E554FA" w14:textId="77777777" w:rsidR="00867256" w:rsidRPr="004E1F7C" w:rsidRDefault="00867256" w:rsidP="00867256">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A könyvvizsgáló szolgáltató az ügyfél képviselője személyazonosságának igazoló ellenőrzése érdekében:  </w:t>
      </w:r>
    </w:p>
    <w:p w14:paraId="45F9D76F" w14:textId="77777777" w:rsidR="00867256" w:rsidRPr="004E1F7C" w:rsidRDefault="00867256" w:rsidP="00867256">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a 10. pontban meghatározott okiratok másolatának beszerzésével történt a személyazonosság igazoló ellenőrzése esetében;</w:t>
      </w:r>
    </w:p>
    <w:p w14:paraId="1CCA8449" w14:textId="77777777" w:rsidR="00867256" w:rsidRPr="004E1F7C" w:rsidRDefault="00867256" w:rsidP="00867256">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a tényleges tulajdonos személyazonosságának igazoló ellenőrzése érdekében 20-21. pontban; és</w:t>
      </w:r>
    </w:p>
    <w:p w14:paraId="20419886" w14:textId="77777777" w:rsidR="00867256" w:rsidRPr="004E1F7C" w:rsidRDefault="00867256" w:rsidP="00867256">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 a tényleges tulajdonos kiemelt közszereplői jelleggel meghatározásával kapcsolatban </w:t>
      </w:r>
    </w:p>
    <w:p w14:paraId="0F850268"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7CBA0C52"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D) A könyvvizsgáló szolgáltató a személyazonosság igazoló ellenőrzése érdekében a C) pontban meghatározott ügyfél-átvilágítási intézkedéseket a változásokat követően azonnal, alacsony kockázat esetén legalább öt évente meghatározott ellenőrzési kötelezettség teljesítése során köteles elvégezni.</w:t>
      </w:r>
    </w:p>
    <w:p w14:paraId="08779D01"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 A könyvvizsgáló szolgáltató haladéktalanul elvégzi a magasabb kockázati szintnek megfelelő ügyfél-átvilágítást, ha az A) pont c)–e) pontjában meghatározott intézkedések alapján az ügyfél vonatkozásában eltérő kockázati szintre vonatkozó adat került beszerzésre.</w:t>
      </w:r>
    </w:p>
    <w:p w14:paraId="6FCEE289"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F) A könyvvizsgáló szolgáltató az A)-E) meghatározott intézkedéseket a könyvvizsgáló szolgáltató által üzemeltetett, biztonságos, védett, a felügyeletet ellátó szerv által meghatározott módon, előzetesen auditált elektronikus hírközlő eszköz útján is elvégezheti.</w:t>
      </w:r>
    </w:p>
    <w:p w14:paraId="6ED5A44B"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ügyfél személyes megjelenése hiányában könyvvizsgáló szolgáltató az A)-E) meghatározott intézkedéseket:</w:t>
      </w:r>
    </w:p>
    <w:p w14:paraId="150CBB46" w14:textId="77777777" w:rsidR="00867256" w:rsidRPr="004E1F7C" w:rsidRDefault="00867256" w:rsidP="00867256">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247920CE" w14:textId="77777777" w:rsidR="00867256" w:rsidRPr="004E1F7C" w:rsidRDefault="00867256" w:rsidP="00867256">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lastRenderedPageBreak/>
        <w:t>a könyvvizsgáló szolgáltató meghatározott saját kockázatértékelésén alapuló belső szabályzatban rögzített esetekben az ügyfél által az ügyfél azonosított elektronikus levelezési címéről biztonságosan küldött vagy a könyvvizsgáló szolgáltató által az ügyféllel való kapcsolattartás érdekében üzemeltetett elektronikus felületre feltöltött okiratmásolatok és nyilatkozatok alapján, vagy</w:t>
      </w:r>
    </w:p>
    <w:p w14:paraId="55EC5766" w14:textId="77777777" w:rsidR="00867256" w:rsidRPr="004E1F7C" w:rsidRDefault="00867256" w:rsidP="00867256">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66E1D8B7"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0143DD92" w14:textId="77777777" w:rsidR="00867256" w:rsidRDefault="00867256" w:rsidP="00867256">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fennállása esetén a szolgáltató a 47. pontban meghatározott intézkedéseken túl további adatgyűjtést nem végezhet.</w:t>
      </w:r>
    </w:p>
    <w:p w14:paraId="5E14B341" w14:textId="0F8BF407" w:rsidR="00867256" w:rsidRDefault="00867256"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071D63B9" w14:textId="77777777" w:rsidR="00CC6A65" w:rsidRPr="004E1F7C" w:rsidRDefault="00CC6A65"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B2DBAA9" w14:textId="77777777" w:rsidR="00867256" w:rsidRPr="004E1F7C" w:rsidRDefault="00867256" w:rsidP="00867256">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t>Fokozott ügyfél-átvilágítás</w:t>
      </w:r>
    </w:p>
    <w:p w14:paraId="045ED916" w14:textId="77777777" w:rsidR="00867256" w:rsidRPr="004E1F7C" w:rsidRDefault="00867256" w:rsidP="00867256">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45BAE5DA"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 amennyiben az ügyfél magas kockázatú. Az ügyfelet magas kockázatúnak kell tekinteni, amennyiben:</w:t>
      </w:r>
    </w:p>
    <w:p w14:paraId="2E10B343"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a képviselő nem jelent meg személyesen az azonosítás és a személyazonosság igazoló ellenőrzése céljából (az ügyfél képviselőjének személyes eljárása az ügyfél személyes megjelenésének minősül, az auditált elektronikus hírközlő eszköz használatával megvalósult azonosítás szintén a személyes megjelenéssel egyenértékű);</w:t>
      </w:r>
    </w:p>
    <w:p w14:paraId="51B9EDBA"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stratégiai hiányosságokkal rendelkező, kiemelt kockázatot jelentő harmadik országból származik;</w:t>
      </w:r>
    </w:p>
    <w:p w14:paraId="64E1D0FC"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461B3A46"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4E1F7C">
        <w:rPr>
          <w:rFonts w:ascii="Times New Roman" w:hAnsi="Times New Roman"/>
          <w:sz w:val="25"/>
          <w:szCs w:val="25"/>
        </w:rPr>
        <w:t>a jogi személy, jogi személyiséggel nem rendelkező szervezet tényleges tulajdonosa – a többségi tulajdonú állami vállalat 3. § 38. pont f) pont alapján megállapított tényleges tulajdonosa kivételével – kiemelt közszereplő vagy</w:t>
      </w:r>
      <w:r w:rsidRPr="004E1F7C">
        <w:t xml:space="preserve"> </w:t>
      </w:r>
      <w:r w:rsidRPr="004E1F7C">
        <w:rPr>
          <w:rFonts w:ascii="Times New Roman" w:hAnsi="Times New Roman"/>
          <w:sz w:val="25"/>
          <w:szCs w:val="25"/>
        </w:rPr>
        <w:t>a kiemelt közszereplő közeli hozzátartozója vagy a kiemelt közszereplővel közeli kapcsolatban álló személy;</w:t>
      </w:r>
    </w:p>
    <w:p w14:paraId="1D976A65"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Cs/>
          <w:sz w:val="25"/>
          <w:szCs w:val="25"/>
        </w:rPr>
        <w:t>az alábbi körülmények valamelyike merül fel:</w:t>
      </w:r>
    </w:p>
    <w:p w14:paraId="54D96BCC"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ea</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34095969"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eb)</w:t>
      </w:r>
      <w:r w:rsidRPr="004E1F7C">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65B7E4FD"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ec</w:t>
      </w:r>
      <w:proofErr w:type="spellEnd"/>
      <w:r w:rsidRPr="004E1F7C">
        <w:rPr>
          <w:rFonts w:ascii="Times New Roman" w:hAnsi="Times New Roman"/>
          <w:sz w:val="25"/>
          <w:szCs w:val="25"/>
        </w:rPr>
        <w:t>)</w:t>
      </w:r>
      <w:r w:rsidRPr="004E1F7C">
        <w:rPr>
          <w:rFonts w:ascii="Times New Roman" w:hAnsi="Times New Roman"/>
          <w:sz w:val="25"/>
          <w:szCs w:val="25"/>
        </w:rPr>
        <w:tab/>
      </w:r>
      <w:r w:rsidRPr="004E1F7C">
        <w:rPr>
          <w:rFonts w:ascii="Times New Roman" w:hAnsi="Times New Roman"/>
          <w:i/>
          <w:iCs/>
          <w:sz w:val="25"/>
          <w:szCs w:val="25"/>
        </w:rPr>
        <w:t xml:space="preserve"> </w:t>
      </w:r>
      <w:r w:rsidRPr="004E1F7C">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5AD8A190"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ed</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vezető tisztségviselője, tényleges tulajdonosa stratégiai hiányosságokkal </w:t>
      </w:r>
      <w:r w:rsidRPr="004E1F7C">
        <w:rPr>
          <w:rFonts w:ascii="Times New Roman" w:hAnsi="Times New Roman"/>
          <w:sz w:val="25"/>
          <w:szCs w:val="25"/>
        </w:rPr>
        <w:lastRenderedPageBreak/>
        <w:t xml:space="preserve">rendelkező, kiemelt kockázatot jelentő harmadik ország </w:t>
      </w:r>
      <w:proofErr w:type="spellStart"/>
      <w:r w:rsidRPr="004E1F7C">
        <w:rPr>
          <w:rFonts w:ascii="Times New Roman" w:hAnsi="Times New Roman"/>
          <w:sz w:val="25"/>
          <w:szCs w:val="25"/>
        </w:rPr>
        <w:t>állampolgára</w:t>
      </w:r>
      <w:proofErr w:type="spellEnd"/>
      <w:r w:rsidRPr="004E1F7C">
        <w:rPr>
          <w:rFonts w:ascii="Times New Roman" w:hAnsi="Times New Roman"/>
          <w:sz w:val="25"/>
          <w:szCs w:val="25"/>
        </w:rPr>
        <w:t xml:space="preserve">, vagy ott lakóhellyel rendelkezik; </w:t>
      </w:r>
    </w:p>
    <w:p w14:paraId="43BB017B"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ee</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7834A24C"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ef</w:t>
      </w:r>
      <w:proofErr w:type="spellEnd"/>
      <w:r w:rsidRPr="004E1F7C">
        <w:rPr>
          <w:rFonts w:ascii="Times New Roman" w:hAnsi="Times New Roman"/>
          <w:sz w:val="25"/>
          <w:szCs w:val="25"/>
        </w:rPr>
        <w:t>)</w:t>
      </w:r>
      <w:r w:rsidRPr="004E1F7C">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6433CEA"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eg</w:t>
      </w:r>
      <w:proofErr w:type="spellEnd"/>
      <w:r w:rsidRPr="004E1F7C">
        <w:rPr>
          <w:rFonts w:ascii="Times New Roman" w:hAnsi="Times New Roman"/>
          <w:sz w:val="25"/>
          <w:szCs w:val="25"/>
        </w:rPr>
        <w:t>)</w:t>
      </w:r>
      <w:r w:rsidRPr="004E1F7C">
        <w:rPr>
          <w:rFonts w:ascii="Times New Roman" w:hAnsi="Times New Roman"/>
          <w:sz w:val="25"/>
          <w:szCs w:val="25"/>
        </w:rPr>
        <w:tab/>
        <w:t>az ügyfél képviselőjeként megjelent személy képviseleti vagy tulajdonosi jogosultságát nem tudja igazolni</w:t>
      </w:r>
    </w:p>
    <w:p w14:paraId="2C84A7DD"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eh)</w:t>
      </w:r>
      <w:r w:rsidRPr="004E1F7C">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8288E5E" w14:textId="77777777" w:rsidR="00867256" w:rsidRPr="004E1F7C" w:rsidRDefault="00867256" w:rsidP="00867256">
      <w:pPr>
        <w:pStyle w:val="Listaszerbekezds"/>
        <w:numPr>
          <w:ilvl w:val="2"/>
          <w:numId w:val="1"/>
        </w:numPr>
        <w:spacing w:after="0" w:line="240" w:lineRule="auto"/>
        <w:ind w:left="814"/>
        <w:jc w:val="both"/>
        <w:rPr>
          <w:rFonts w:ascii="Times New Roman" w:hAnsi="Times New Roman"/>
          <w:sz w:val="25"/>
          <w:szCs w:val="25"/>
        </w:rPr>
      </w:pPr>
      <w:proofErr w:type="spellStart"/>
      <w:r w:rsidRPr="004E1F7C">
        <w:rPr>
          <w:rFonts w:ascii="Times New Roman" w:hAnsi="Times New Roman"/>
          <w:sz w:val="25"/>
          <w:szCs w:val="25"/>
        </w:rPr>
        <w:t>előzőeken</w:t>
      </w:r>
      <w:proofErr w:type="spellEnd"/>
      <w:r w:rsidRPr="004E1F7C">
        <w:rPr>
          <w:rFonts w:ascii="Times New Roman" w:hAnsi="Times New Roman"/>
          <w:sz w:val="25"/>
          <w:szCs w:val="25"/>
        </w:rPr>
        <w:t xml:space="preserve"> túlmenően az útmutató 1. számú mellékletének 1. pontja szerinti kockázati tényező merül fel;</w:t>
      </w:r>
    </w:p>
    <w:p w14:paraId="46EA981F" w14:textId="77777777" w:rsidR="00867256" w:rsidRPr="004E1F7C" w:rsidRDefault="00867256" w:rsidP="00867256">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ügyfél az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-törvény alapján „megbízhatatlan” minősítésű tényleges tulajdonosi adatokkal rendelkező adatszolgáltatónak minősül.</w:t>
      </w:r>
    </w:p>
    <w:p w14:paraId="30DAAD5C" w14:textId="77777777" w:rsidR="00867256" w:rsidRPr="004E1F7C" w:rsidRDefault="00867256" w:rsidP="00CC6A65">
      <w:pPr>
        <w:autoSpaceDE w:val="0"/>
        <w:autoSpaceDN w:val="0"/>
        <w:adjustRightInd w:val="0"/>
        <w:spacing w:after="0" w:line="240" w:lineRule="auto"/>
        <w:jc w:val="both"/>
        <w:rPr>
          <w:rFonts w:ascii="Times New Roman" w:hAnsi="Times New Roman"/>
          <w:b/>
          <w:bCs/>
          <w:i/>
          <w:iCs/>
          <w:sz w:val="25"/>
          <w:szCs w:val="25"/>
        </w:rPr>
      </w:pPr>
    </w:p>
    <w:p w14:paraId="503982EE" w14:textId="77777777" w:rsidR="00867256" w:rsidRPr="004E1F7C" w:rsidRDefault="00867256" w:rsidP="00CC6A65">
      <w:pPr>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rendelkezései értelmében 2022. július 1-jétől „megbízhatatlan” minősítésű tényleges tulajdonosi adatokkal rendelkező adatszolgáltatót a könyvvizsgáló szolgáltató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xml:space="preserve">. 10. § (1) bekezdés b) pontja alapján magas kockázatúnak tekinti, és végrehajtja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16.  §-a szerinti magas kockázati szintnek megfelelő ügyfél-átvilágítási intézkedéseket.</w:t>
      </w:r>
    </w:p>
    <w:p w14:paraId="4960BC80" w14:textId="77777777" w:rsidR="00867256" w:rsidRPr="004E1F7C" w:rsidRDefault="00867256" w:rsidP="00867256">
      <w:pPr>
        <w:pStyle w:val="Listaszerbekezds"/>
        <w:spacing w:after="0" w:line="240" w:lineRule="auto"/>
        <w:ind w:left="814"/>
        <w:jc w:val="both"/>
        <w:rPr>
          <w:rFonts w:ascii="Times New Roman" w:hAnsi="Times New Roman"/>
          <w:sz w:val="25"/>
          <w:szCs w:val="25"/>
        </w:rPr>
      </w:pPr>
    </w:p>
    <w:p w14:paraId="1F2C64C0" w14:textId="77777777" w:rsidR="00867256" w:rsidRPr="004E1F7C" w:rsidRDefault="00867256" w:rsidP="00867256">
      <w:pPr>
        <w:pStyle w:val="Listaszerbekezds"/>
        <w:spacing w:after="0" w:line="240" w:lineRule="auto"/>
        <w:ind w:left="814"/>
        <w:jc w:val="both"/>
        <w:rPr>
          <w:rFonts w:ascii="Times New Roman" w:hAnsi="Times New Roman"/>
          <w:sz w:val="25"/>
          <w:szCs w:val="25"/>
        </w:rPr>
      </w:pPr>
    </w:p>
    <w:p w14:paraId="0521E2F5"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4E1F7C">
        <w:rPr>
          <w:rFonts w:ascii="Times New Roman" w:hAnsi="Times New Roman"/>
          <w:sz w:val="25"/>
          <w:szCs w:val="25"/>
        </w:rPr>
        <w:t>A könyvvizsgáló szolgáltató az 49. pont b)-g) alpontjaiban meghatározott esetekben a normál ügyfél-átvilágítási intézkedéseken túlmenően az alábbi ügyfél-átvilágítási intézkedéseket is köteles elvégezni:</w:t>
      </w:r>
    </w:p>
    <w:p w14:paraId="000C963E" w14:textId="77777777" w:rsidR="00867256" w:rsidRPr="004E1F7C" w:rsidRDefault="00867256" w:rsidP="00867256">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7DEC75B4"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736C6889"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folyamatos figyelemmel kísérését a belső szabályzatban meghatározott megerősített eljárásban hajtja végre.</w:t>
      </w:r>
    </w:p>
    <w:p w14:paraId="20F337D9" w14:textId="77777777" w:rsidR="00867256" w:rsidRPr="004E1F7C" w:rsidRDefault="00867256" w:rsidP="00867256">
      <w:pPr>
        <w:pStyle w:val="Listaszerbekezds"/>
        <w:rPr>
          <w:rFonts w:ascii="Times New Roman" w:hAnsi="Times New Roman"/>
          <w:sz w:val="25"/>
          <w:szCs w:val="25"/>
        </w:rPr>
      </w:pPr>
    </w:p>
    <w:p w14:paraId="2DB23ED9"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shd w:val="clear" w:color="auto" w:fill="FFFFFF"/>
        </w:rPr>
        <w:t xml:space="preserve"> Az </w:t>
      </w:r>
      <w:proofErr w:type="spellStart"/>
      <w:r w:rsidRPr="004E1F7C">
        <w:rPr>
          <w:rFonts w:ascii="Times New Roman" w:hAnsi="Times New Roman"/>
          <w:sz w:val="25"/>
          <w:szCs w:val="25"/>
          <w:shd w:val="clear" w:color="auto" w:fill="FFFFFF"/>
        </w:rPr>
        <w:t>előzőek</w:t>
      </w:r>
      <w:proofErr w:type="spellEnd"/>
      <w:r w:rsidRPr="004E1F7C">
        <w:rPr>
          <w:rFonts w:ascii="Times New Roman" w:hAnsi="Times New Roman"/>
          <w:sz w:val="25"/>
          <w:szCs w:val="25"/>
          <w:shd w:val="clear" w:color="auto" w:fill="FFFFFF"/>
        </w:rPr>
        <w:t xml:space="preserve"> mellett elvégezhető további ügyfél-átvilágítási intézkedések:</w:t>
      </w:r>
    </w:p>
    <w:p w14:paraId="2A21DB75" w14:textId="77777777" w:rsidR="00867256" w:rsidRPr="004E1F7C" w:rsidRDefault="00867256" w:rsidP="00867256">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6FECDC10"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ügyfél vagyonának forrására vonatkozó információk beszerzése;</w:t>
      </w:r>
    </w:p>
    <w:p w14:paraId="6CC3335E"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tényleges tulajdonos vonatkozásában személyesen vagy az általa üzemeltetett, biztonságos, védett, előzetesen auditált elektronikus hírközlő eszköz útján, továbbá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7. § (3) bekezdésében és (8) bekezdésében meghatározott személyazonossági igazoló ellenőrzésre irányuló intézkedések elvégzése;</w:t>
      </w:r>
    </w:p>
    <w:p w14:paraId="17968A2C"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fokozott ügyfél-átvilágítási intézkedések elvégzése.</w:t>
      </w:r>
    </w:p>
    <w:p w14:paraId="053F788E"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lastRenderedPageBreak/>
        <w:t xml:space="preserve">Amennyiben a szolgáltató az 51. a) pont szerinti vagyon forrására vonatkozó információ beszerzését látja szükségesnek, úgy erre vonatkozóan </w:t>
      </w:r>
      <w:r w:rsidRPr="004E1F7C">
        <w:rPr>
          <w:rFonts w:ascii="Times New Roman" w:hAnsi="Times New Roman"/>
          <w:i/>
          <w:iCs/>
          <w:sz w:val="25"/>
          <w:szCs w:val="25"/>
        </w:rPr>
        <w:t>vagyonforrás nyilatkozatot</w:t>
      </w:r>
      <w:r w:rsidRPr="004E1F7C">
        <w:rPr>
          <w:rFonts w:ascii="Times New Roman" w:hAnsi="Times New Roman"/>
          <w:sz w:val="25"/>
          <w:szCs w:val="25"/>
        </w:rPr>
        <w:t xml:space="preserve"> szükséges bekérnie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6F008665"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p>
    <w:p w14:paraId="0230D458" w14:textId="77777777" w:rsidR="00867256" w:rsidRPr="004E1F7C" w:rsidRDefault="00867256" w:rsidP="00867256">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264EECFE"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4E1F7C">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3CE68885"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310224A"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4D007821"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létesítésének vezető jóváhagyásához kötésére; valamint</w:t>
      </w:r>
    </w:p>
    <w:p w14:paraId="260D5E96"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folyamatos figyelemmel kísérésének megerősített eljárásban történő végrehajtására.</w:t>
      </w:r>
    </w:p>
    <w:p w14:paraId="69F256BD"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10F67DFC"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4E1F7C">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5B4BE08C" w14:textId="77777777" w:rsidR="00867256" w:rsidRPr="004E1F7C" w:rsidRDefault="00867256" w:rsidP="00867256">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fokozott ügyfél-átvilágítási intézkedések elvégzése;</w:t>
      </w:r>
    </w:p>
    <w:p w14:paraId="08F236F3" w14:textId="77777777" w:rsidR="00867256" w:rsidRPr="004E1F7C" w:rsidRDefault="00867256" w:rsidP="00867256">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jelentéstételi kötelezettség bevezetése; vagy</w:t>
      </w:r>
    </w:p>
    <w:p w14:paraId="4F32C4D2" w14:textId="77777777" w:rsidR="00867256" w:rsidRPr="004E1F7C" w:rsidRDefault="00867256" w:rsidP="00867256">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korlátozások alkalmazása.</w:t>
      </w:r>
    </w:p>
    <w:p w14:paraId="69B57D22"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8E812D"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 xml:space="preserve">A szolgáltató az 52. a) pont szerinti vagyon forrására vonatkozó információ beszerzését </w:t>
      </w:r>
      <w:r w:rsidRPr="004E1F7C">
        <w:rPr>
          <w:rFonts w:ascii="Times New Roman" w:hAnsi="Times New Roman"/>
          <w:i/>
          <w:iCs/>
          <w:sz w:val="25"/>
          <w:szCs w:val="25"/>
        </w:rPr>
        <w:t xml:space="preserve">vagyonforrás nyilatkozat </w:t>
      </w:r>
      <w:r w:rsidRPr="004E1F7C">
        <w:rPr>
          <w:rFonts w:ascii="Times New Roman" w:hAnsi="Times New Roman"/>
          <w:sz w:val="25"/>
          <w:szCs w:val="25"/>
        </w:rPr>
        <w:t xml:space="preserve">formájában kéri meg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5FFE96E7"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p>
    <w:p w14:paraId="44F009FD"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47BC023B"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4E1F7C">
        <w:rPr>
          <w:rFonts w:ascii="Times New Roman" w:hAnsi="Times New Roman"/>
          <w:sz w:val="25"/>
          <w:szCs w:val="25"/>
        </w:rPr>
        <w:t>A 49. a) pontban rögzített esetben az azonosítás és a személyazonosság igazoló ellenőrzése érdekében az azonosítási adatokat tartalmazó okiratok hiteles másolatát kell minden esetben megkérni.</w:t>
      </w:r>
    </w:p>
    <w:p w14:paraId="12AE6AAD" w14:textId="77777777" w:rsidR="00867256" w:rsidRPr="004E1F7C" w:rsidRDefault="00867256" w:rsidP="00867256">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83F2F23" w14:textId="77777777" w:rsidR="00867256" w:rsidRPr="004E1F7C" w:rsidRDefault="00867256" w:rsidP="00867256">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4E1F7C">
        <w:rPr>
          <w:rFonts w:ascii="Times New Roman" w:hAnsi="Times New Roman"/>
          <w:sz w:val="25"/>
          <w:szCs w:val="25"/>
        </w:rPr>
        <w:t>Az okirat hiteles másolata abban az esetben fogadható el az azonosítás és a személyazonosság igazoló ellenőrzése teljesítéséhez, ha</w:t>
      </w:r>
    </w:p>
    <w:p w14:paraId="3B0025B6"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0FB38259" w14:textId="77777777" w:rsidR="00867256" w:rsidRPr="004E1F7C" w:rsidRDefault="00867256" w:rsidP="00867256">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lastRenderedPageBreak/>
        <w:t xml:space="preserve">azt közjegyző vagy magyar külképviseleti hatóság a közjegyzőkről szóló törvény (a továbbiakban: </w:t>
      </w:r>
      <w:proofErr w:type="spellStart"/>
      <w:r w:rsidRPr="004E1F7C">
        <w:rPr>
          <w:rFonts w:ascii="Times New Roman" w:hAnsi="Times New Roman"/>
          <w:sz w:val="25"/>
          <w:szCs w:val="25"/>
        </w:rPr>
        <w:t>Kjtv</w:t>
      </w:r>
      <w:proofErr w:type="spellEnd"/>
      <w:r w:rsidRPr="004E1F7C">
        <w:rPr>
          <w:rFonts w:ascii="Times New Roman" w:hAnsi="Times New Roman"/>
          <w:sz w:val="25"/>
          <w:szCs w:val="25"/>
        </w:rPr>
        <w:t>.) másolat hitelesítésének tanúsítására vonatkozó szabályai szerint hitelesítette, vagy</w:t>
      </w:r>
    </w:p>
    <w:p w14:paraId="749C51E4" w14:textId="77777777" w:rsidR="00867256" w:rsidRPr="004E1F7C" w:rsidRDefault="00867256" w:rsidP="00867256">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2BFE958F" w14:textId="77777777" w:rsidR="00867256" w:rsidRPr="004E1F7C" w:rsidRDefault="00867256" w:rsidP="00867256">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0BC60FE"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A 49. b)-f) pontokban megjelölt esetekben a könyvvizsgáló szolgáltató az üzleti kapcsolat folyamatos figyelemmel kísérését az 55. pontban megerősített eljárás keretében folytatja.</w:t>
      </w:r>
    </w:p>
    <w:p w14:paraId="35E1EC81" w14:textId="77777777" w:rsidR="00867256" w:rsidRPr="004E1F7C" w:rsidRDefault="00867256" w:rsidP="00867256">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373AF0D9"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megerősített eljárás módszerére, az összetett és szokatlan ügyletek körére </w:t>
      </w:r>
      <w:r w:rsidRPr="004E1F7C">
        <w:rPr>
          <w:rFonts w:ascii="Times New Roman" w:hAnsi="Times New Roman"/>
          <w:bCs/>
          <w:iCs/>
          <w:sz w:val="25"/>
          <w:szCs w:val="25"/>
        </w:rPr>
        <w:t xml:space="preserve">különösen az ISA </w:t>
      </w:r>
      <w:r w:rsidRPr="004E1F7C">
        <w:rPr>
          <w:rFonts w:ascii="Times New Roman" w:hAnsi="Times New Roman"/>
          <w:sz w:val="25"/>
          <w:szCs w:val="25"/>
        </w:rPr>
        <w:t xml:space="preserve">240. témaszámú standard rendelkezései megfelelően </w:t>
      </w:r>
      <w:proofErr w:type="spellStart"/>
      <w:r w:rsidRPr="004E1F7C">
        <w:rPr>
          <w:rFonts w:ascii="Times New Roman" w:hAnsi="Times New Roman"/>
          <w:sz w:val="25"/>
          <w:szCs w:val="25"/>
        </w:rPr>
        <w:t>irányadóak</w:t>
      </w:r>
      <w:proofErr w:type="spellEnd"/>
      <w:r w:rsidRPr="004E1F7C">
        <w:rPr>
          <w:rFonts w:ascii="Times New Roman" w:hAnsi="Times New Roman"/>
          <w:sz w:val="25"/>
          <w:szCs w:val="25"/>
        </w:rPr>
        <w:t>.</w:t>
      </w:r>
    </w:p>
    <w:p w14:paraId="6B368275"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2537A33D" w14:textId="77777777" w:rsidR="00867256" w:rsidRPr="004E1F7C" w:rsidRDefault="00867256" w:rsidP="00867256">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627E21D1" w14:textId="77777777" w:rsidR="00867256" w:rsidRPr="004E1F7C" w:rsidRDefault="00867256" w:rsidP="00867256">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BEJELENTÉSI KÖTELEZETTSÉG</w:t>
      </w:r>
    </w:p>
    <w:p w14:paraId="1BE433C8" w14:textId="77777777" w:rsidR="00867256" w:rsidRPr="004E1F7C" w:rsidRDefault="00867256" w:rsidP="00867256">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1CA345DE"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vezetője, foglalkoztatottja és segítő családtagja</w:t>
      </w:r>
      <w:r w:rsidRPr="004E1F7C" w:rsidDel="004C46E6">
        <w:rPr>
          <w:rFonts w:ascii="Times New Roman" w:hAnsi="Times New Roman"/>
          <w:sz w:val="25"/>
          <w:szCs w:val="25"/>
        </w:rPr>
        <w:t xml:space="preserve"> </w:t>
      </w:r>
    </w:p>
    <w:p w14:paraId="3EBC10B1" w14:textId="77777777" w:rsidR="00867256" w:rsidRPr="004E1F7C" w:rsidRDefault="00867256" w:rsidP="00867256">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4FD9353C" w14:textId="77777777" w:rsidR="00867256" w:rsidRPr="004E1F7C" w:rsidRDefault="00867256" w:rsidP="00867256">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5ADC1DF4" w14:textId="77777777" w:rsidR="00867256" w:rsidRPr="004E1F7C" w:rsidRDefault="00867256" w:rsidP="00867256">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49760DB4"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utaló adat, tény, körülmény felmerülése esetén kötelesek a kijelölt személynek haladéktalanul írásban bejelentést tenni (2.3. számú melléklet).</w:t>
      </w:r>
    </w:p>
    <w:p w14:paraId="50F89A17" w14:textId="77777777" w:rsidR="00867256" w:rsidRPr="004E1F7C" w:rsidRDefault="00867256" w:rsidP="00867256">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C3C4D2E" w14:textId="77777777" w:rsidR="00867256" w:rsidRPr="004E1F7C" w:rsidRDefault="00867256" w:rsidP="00867256">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6069BBF8" w14:textId="77777777" w:rsidR="00867256" w:rsidRPr="004E1F7C" w:rsidRDefault="00867256" w:rsidP="00867256">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könyvvizsgáló szolgáltató által a 7-13. valamint 25. pontok alapján rögzített adatokat,</w:t>
      </w:r>
    </w:p>
    <w:p w14:paraId="535D066A" w14:textId="77777777" w:rsidR="00867256" w:rsidRPr="004E1F7C" w:rsidRDefault="00867256" w:rsidP="00867256">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32CBEADF" w14:textId="77777777" w:rsidR="00867256" w:rsidRPr="004E1F7C" w:rsidRDefault="00867256" w:rsidP="00867256">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53FE4919" w14:textId="77777777" w:rsidR="00867256" w:rsidRPr="004E1F7C" w:rsidRDefault="00867256" w:rsidP="00867256">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5D4726FC"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AF88C3"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221E53F1"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008719C0" w14:textId="77777777" w:rsidR="00867256" w:rsidRPr="004E1F7C" w:rsidRDefault="00867256" w:rsidP="00867256">
      <w:pPr>
        <w:pStyle w:val="Listaszerbekezds"/>
        <w:rPr>
          <w:rFonts w:ascii="Times New Roman" w:hAnsi="Times New Roman"/>
          <w:sz w:val="25"/>
          <w:szCs w:val="25"/>
        </w:rPr>
      </w:pPr>
    </w:p>
    <w:p w14:paraId="59F37C04"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6CE9982B" w14:textId="77777777" w:rsidR="00867256" w:rsidRPr="004E1F7C" w:rsidRDefault="00867256" w:rsidP="00867256">
      <w:pPr>
        <w:pStyle w:val="Listaszerbekezds"/>
        <w:rPr>
          <w:rFonts w:ascii="Times New Roman" w:hAnsi="Times New Roman"/>
          <w:sz w:val="25"/>
          <w:szCs w:val="25"/>
        </w:rPr>
      </w:pPr>
    </w:p>
    <w:p w14:paraId="587F9272"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3121FDC0" w14:textId="77777777" w:rsidR="00867256" w:rsidRDefault="00867256" w:rsidP="00867256">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00107C88"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3860F5A" w14:textId="77777777" w:rsidR="00867256" w:rsidRPr="004E1F7C" w:rsidRDefault="00867256" w:rsidP="00867256">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r w:rsidRPr="004E1F7C">
        <w:rPr>
          <w:rFonts w:ascii="Times New Roman" w:hAnsi="Times New Roman"/>
          <w:b/>
          <w:sz w:val="25"/>
          <w:szCs w:val="25"/>
        </w:rPr>
        <w:t>Belső ellenőrző és információs rendszer, képzési program</w:t>
      </w:r>
    </w:p>
    <w:p w14:paraId="1907AE0A" w14:textId="77777777" w:rsidR="00867256" w:rsidRPr="004E1F7C" w:rsidRDefault="00867256" w:rsidP="00867256">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56AC7B8F" w14:textId="77777777" w:rsidR="00867256" w:rsidRPr="004E1F7C" w:rsidRDefault="00867256" w:rsidP="00867256">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320D0100" w14:textId="77777777" w:rsidR="00867256" w:rsidRPr="004E1F7C" w:rsidRDefault="00867256" w:rsidP="00867256">
      <w:pPr>
        <w:spacing w:after="0" w:line="240" w:lineRule="auto"/>
        <w:ind w:left="425"/>
        <w:jc w:val="both"/>
        <w:rPr>
          <w:rFonts w:ascii="Times New Roman" w:hAnsi="Times New Roman"/>
          <w:sz w:val="25"/>
          <w:szCs w:val="25"/>
        </w:rPr>
      </w:pPr>
      <w:r w:rsidRPr="004E1F7C">
        <w:rPr>
          <w:rFonts w:ascii="Times New Roman" w:hAnsi="Times New Roman"/>
          <w:sz w:val="25"/>
          <w:szCs w:val="25"/>
        </w:rPr>
        <w:t>a) a nyilvántartási (ügyfél-átvilágítási),</w:t>
      </w:r>
    </w:p>
    <w:p w14:paraId="37EC1B6B" w14:textId="77777777" w:rsidR="00867256" w:rsidRPr="004E1F7C" w:rsidRDefault="00867256" w:rsidP="00867256">
      <w:pPr>
        <w:spacing w:after="0" w:line="240" w:lineRule="auto"/>
        <w:ind w:left="425"/>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77E4971C" w14:textId="77777777" w:rsidR="00867256" w:rsidRPr="004E1F7C" w:rsidRDefault="00867256" w:rsidP="00867256">
      <w:pPr>
        <w:spacing w:after="0" w:line="240" w:lineRule="auto"/>
        <w:ind w:left="425"/>
        <w:jc w:val="both"/>
        <w:rPr>
          <w:rFonts w:ascii="Times New Roman" w:hAnsi="Times New Roman"/>
          <w:sz w:val="25"/>
          <w:szCs w:val="25"/>
        </w:rPr>
      </w:pPr>
      <w:r w:rsidRPr="004E1F7C">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1785F2B4" w14:textId="77777777" w:rsidR="00867256" w:rsidRPr="004E1F7C" w:rsidRDefault="00867256" w:rsidP="00867256">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8BC9BAA"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 köteles gondoskodni arról, hogy a szolgáltatói tevékenység ellátásában részt vevő alkalmazottai (vezetői, segítő családtagok) a pénzmosásra és a terrorizmus finanszírozására vonatkozó jogszabályi rendelkezéseket (a Kit-</w:t>
      </w:r>
      <w:proofErr w:type="spellStart"/>
      <w:r w:rsidRPr="004E1F7C">
        <w:rPr>
          <w:rFonts w:ascii="Times New Roman" w:hAnsi="Times New Roman"/>
          <w:sz w:val="25"/>
          <w:szCs w:val="25"/>
        </w:rPr>
        <w:t>et</w:t>
      </w:r>
      <w:proofErr w:type="spellEnd"/>
      <w:r w:rsidRPr="004E1F7C">
        <w:rPr>
          <w:rFonts w:ascii="Times New Roman" w:hAnsi="Times New Roman"/>
          <w:sz w:val="25"/>
          <w:szCs w:val="25"/>
        </w:rPr>
        <w:t xml:space="preserve">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6AC8C0B"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6485602E"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6BC7AAE9" w14:textId="77777777" w:rsidR="00867256" w:rsidRPr="004E1F7C" w:rsidRDefault="00867256" w:rsidP="00867256">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5F4A38E"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foglalt kötelezettségek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7533629D"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4F5B0DAE"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lastRenderedPageBreak/>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7328B4BC"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7BAA790B"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szolgáltatókat terhelő speciális továbbképzés megoldható külső oktatásban is. Ilyen lehet mindenekelőtt a kamara által szervezett, a kötelező szakmai továbbképzés keretében oktatott ismeretek átadása.</w:t>
      </w:r>
    </w:p>
    <w:p w14:paraId="55F298CD" w14:textId="77777777" w:rsidR="00867256" w:rsidRPr="004E1F7C" w:rsidRDefault="00867256" w:rsidP="00867256">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6DCC969" w14:textId="77777777" w:rsidR="00867256" w:rsidRPr="004E1F7C" w:rsidRDefault="00867256" w:rsidP="00867256">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F27B249" w14:textId="77777777" w:rsidR="00867256" w:rsidRPr="004E1F7C" w:rsidRDefault="00867256" w:rsidP="00867256">
      <w:pPr>
        <w:pStyle w:val="Listaszerbekezds"/>
        <w:keepNext/>
        <w:numPr>
          <w:ilvl w:val="0"/>
          <w:numId w:val="21"/>
        </w:numPr>
        <w:spacing w:after="0" w:line="240" w:lineRule="auto"/>
        <w:ind w:left="2004"/>
        <w:jc w:val="center"/>
        <w:outlineLvl w:val="0"/>
        <w:rPr>
          <w:rFonts w:ascii="Times New Roman" w:hAnsi="Times New Roman"/>
          <w:b/>
          <w:sz w:val="25"/>
          <w:szCs w:val="25"/>
        </w:rPr>
      </w:pPr>
      <w:r w:rsidRPr="004E1F7C">
        <w:rPr>
          <w:rFonts w:ascii="Times New Roman" w:hAnsi="Times New Roman"/>
          <w:b/>
          <w:sz w:val="25"/>
          <w:szCs w:val="25"/>
        </w:rPr>
        <w:t>Az Európai Unió és az ENSZ Biztonsági Tanácsa által elrendelt pénzügyi és a vagyoni korlátozó intézkedések végrehajtása</w:t>
      </w:r>
    </w:p>
    <w:p w14:paraId="60EF7EFF" w14:textId="77777777" w:rsidR="00867256" w:rsidRPr="004E1F7C" w:rsidRDefault="00867256" w:rsidP="00867256">
      <w:pPr>
        <w:spacing w:after="0" w:line="240" w:lineRule="auto"/>
        <w:jc w:val="both"/>
        <w:rPr>
          <w:rFonts w:ascii="Times New Roman" w:eastAsia="Times New Roman" w:hAnsi="Times New Roman" w:cs="Times New Roman"/>
          <w:b/>
          <w:sz w:val="25"/>
          <w:szCs w:val="25"/>
          <w:lang w:eastAsia="hu-HU"/>
        </w:rPr>
      </w:pPr>
    </w:p>
    <w:p w14:paraId="5EE7ECCE"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folyamatosan figyelemmel kíséri a pénzügyi és vagyoni korlátozó intézkedést elrendelő uniós jogi aktusok, illetve ENSZ BT határozatok kiadását és későbbi módosításait. A kamara a Kit. szerinti feladatok végrehajtásához a honlapján a korlátozó intézkedéseket elrendelő uniós jogi aktusokról és ENSZ BT határozatokról tájékoztatást tesz közzé és azt folyamatosan aktualizálja. </w:t>
      </w:r>
    </w:p>
    <w:p w14:paraId="02747175"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314815" w14:textId="77777777" w:rsidR="00867256" w:rsidRPr="004E1F7C" w:rsidRDefault="00867256" w:rsidP="0086725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Szűrő-monitoring rendszer</w:t>
      </w:r>
    </w:p>
    <w:p w14:paraId="25A71869"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16604944"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06E7765F"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78B4C49E"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49E7E4BF"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603F5D42"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79E9A010"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12AE8605"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könyvvizsgáló szolgáltató manuálisan működő szűrőrendszer alkalmazásával is végrehajthatja, amely egy, a könyvvizsgáló szolgáltató által rögzített teljes ügyfélállomány személyes adatainak az </w:t>
      </w:r>
      <w:r w:rsidRPr="004E1F7C">
        <w:rPr>
          <w:rFonts w:ascii="Times New Roman" w:hAnsi="Times New Roman"/>
          <w:sz w:val="25"/>
          <w:szCs w:val="25"/>
        </w:rPr>
        <w:lastRenderedPageBreak/>
        <w:t>uniós jogi aktusokban és az ENSZ BT határozataiban szereplő személyek adataival való összehasonlítására alkalmas, nem automatikus eljárás.</w:t>
      </w:r>
    </w:p>
    <w:p w14:paraId="4C581933"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3E87A43E" w14:textId="453BDC1E" w:rsidR="00867256" w:rsidRPr="00CC6A65"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74B4ADF2"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2820B6F" w14:textId="77777777" w:rsidR="00867256" w:rsidRPr="004E1F7C" w:rsidRDefault="00867256" w:rsidP="0086725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Bejelentési kötelezettség a Kit. alapján</w:t>
      </w:r>
    </w:p>
    <w:p w14:paraId="61FD782A"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3F7D11A"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kijelölt személy haladéktalanul bejelentést tesz a pénzügyi információs egységnek 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651DB739"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400AEB4F"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a tevékenységének megkezdését követő öt munkanapon belül kijelölni – a szervezet sajátosságától függően – egy vagy több személyt, aki a 74.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7DF21B39"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4C0B5EA1"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vonatkozásában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valamint a jelen szabályzat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szerinti bejelentéseire vonatkozó rendelkezéseit is megfelelően alkalmazni kell.</w:t>
      </w:r>
    </w:p>
    <w:p w14:paraId="6B3A2951" w14:textId="77777777" w:rsidR="00867256" w:rsidRPr="004E1F7C" w:rsidRDefault="00867256" w:rsidP="00867256">
      <w:pPr>
        <w:spacing w:after="0" w:line="240" w:lineRule="auto"/>
        <w:ind w:right="84"/>
        <w:jc w:val="both"/>
        <w:rPr>
          <w:rFonts w:ascii="Times New Roman" w:eastAsia="Times New Roman" w:hAnsi="Times New Roman" w:cs="Times New Roman"/>
          <w:sz w:val="25"/>
          <w:szCs w:val="25"/>
          <w:lang w:eastAsia="hu-HU"/>
        </w:rPr>
      </w:pPr>
    </w:p>
    <w:p w14:paraId="314FF8AB" w14:textId="77777777" w:rsidR="00867256" w:rsidRPr="004E1F7C" w:rsidRDefault="00867256" w:rsidP="00867256">
      <w:pPr>
        <w:spacing w:after="0" w:line="240" w:lineRule="auto"/>
        <w:ind w:right="84"/>
        <w:jc w:val="both"/>
        <w:rPr>
          <w:rFonts w:ascii="Times New Roman" w:eastAsia="Times New Roman" w:hAnsi="Times New Roman" w:cs="Times New Roman"/>
          <w:sz w:val="25"/>
          <w:szCs w:val="25"/>
          <w:lang w:eastAsia="hu-HU"/>
        </w:rPr>
      </w:pPr>
    </w:p>
    <w:p w14:paraId="640395DB" w14:textId="77777777" w:rsidR="00867256" w:rsidRPr="004E1F7C" w:rsidRDefault="00867256" w:rsidP="00867256">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7898D550" w14:textId="77777777" w:rsidR="00867256" w:rsidRPr="004E1F7C" w:rsidRDefault="00867256" w:rsidP="00867256">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A3C4757"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15899007" w14:textId="77777777" w:rsidR="00867256" w:rsidRPr="004E1F7C" w:rsidRDefault="00867256" w:rsidP="00867256">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59671197" w14:textId="77777777" w:rsidR="00867256" w:rsidRPr="004E1F7C" w:rsidRDefault="00867256" w:rsidP="00867256">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621ABEC5" w14:textId="77777777" w:rsidR="00867256" w:rsidRPr="004E1F7C" w:rsidRDefault="00867256" w:rsidP="00867256">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37158181" w14:textId="77777777" w:rsidR="00867256" w:rsidRPr="004E1F7C" w:rsidRDefault="00867256" w:rsidP="00867256">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4F1607F5" w14:textId="77777777" w:rsidR="00867256" w:rsidRPr="004E1F7C" w:rsidRDefault="00867256" w:rsidP="00867256">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 A könyvvizsgáló szolgáltató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valamint az annak felhatalmazásán alapuló jogszabályban foglalt kötelezettség teljesítése során birtokába jutott személyes adatokat az üzleti kapcsolat megszűnésétől számított nyolc évig jogosult kezelni. </w:t>
      </w:r>
    </w:p>
    <w:p w14:paraId="1B3C1088" w14:textId="77777777" w:rsidR="00867256" w:rsidRPr="004E1F7C" w:rsidRDefault="00867256" w:rsidP="00867256">
      <w:pPr>
        <w:pStyle w:val="Listaszerbekezds"/>
        <w:autoSpaceDE w:val="0"/>
        <w:autoSpaceDN w:val="0"/>
        <w:adjustRightInd w:val="0"/>
        <w:spacing w:after="0" w:line="240" w:lineRule="auto"/>
        <w:ind w:left="928" w:right="84"/>
        <w:jc w:val="both"/>
        <w:rPr>
          <w:rFonts w:ascii="Times New Roman" w:hAnsi="Times New Roman"/>
          <w:sz w:val="25"/>
          <w:szCs w:val="25"/>
        </w:rPr>
      </w:pPr>
    </w:p>
    <w:p w14:paraId="6A52F2AB"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az általa vezetett nyilvántartásban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valamint az annak felhatalmazásán alapuló jogszabályban foglalt kötelezettség teljesítése során birtokába jutott személyes adatnak nem minősülő adatokat, beleértve az elektronikus azonosítás során birtokába jutott adatokat is, valamint minden egyéb, az üzleti kapcsolattal összefüggésben keletkezett adatot, okiratot, illetve azok másolatát az üzleti kapcsolat megszűnésétől számított nyolc évig köteles megőrizni.</w:t>
      </w:r>
    </w:p>
    <w:p w14:paraId="0B346BFB" w14:textId="77777777" w:rsidR="00867256" w:rsidRPr="004E1F7C" w:rsidRDefault="00867256" w:rsidP="00867256">
      <w:pPr>
        <w:pStyle w:val="Listaszerbekezds"/>
        <w:autoSpaceDE w:val="0"/>
        <w:autoSpaceDN w:val="0"/>
        <w:adjustRightInd w:val="0"/>
        <w:spacing w:after="0" w:line="240" w:lineRule="auto"/>
        <w:ind w:left="928" w:right="84"/>
        <w:jc w:val="both"/>
        <w:rPr>
          <w:rFonts w:ascii="Times New Roman" w:hAnsi="Times New Roman"/>
          <w:sz w:val="25"/>
          <w:szCs w:val="25"/>
        </w:rPr>
      </w:pPr>
    </w:p>
    <w:p w14:paraId="751F3833"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lastRenderedPageBreak/>
        <w:t xml:space="preserve">A könyvvizsgáló szolgáltató - az általa vezetett nyilvántartásban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valamint az annak felhatalmazásán alapuló jogszabályban foglalt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49BBE953" w14:textId="77777777" w:rsidR="00867256" w:rsidRPr="004E1F7C" w:rsidRDefault="00867256" w:rsidP="00867256">
      <w:pPr>
        <w:pStyle w:val="Listaszerbekezds"/>
        <w:autoSpaceDE w:val="0"/>
        <w:autoSpaceDN w:val="0"/>
        <w:adjustRightInd w:val="0"/>
        <w:spacing w:after="0" w:line="240" w:lineRule="auto"/>
        <w:ind w:left="928" w:right="84"/>
        <w:jc w:val="both"/>
        <w:rPr>
          <w:rFonts w:ascii="Times New Roman" w:hAnsi="Times New Roman"/>
          <w:sz w:val="25"/>
          <w:szCs w:val="25"/>
        </w:rPr>
      </w:pPr>
    </w:p>
    <w:p w14:paraId="48F2E51A"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könyvvizsgáló szolgáltató a 78-80. pont szerinti adatokat, okiratot, illetve azok másolatát a kezelési, valamint a megőrzési határidőt követően haladéktalanul köteles törölni, illetve megsemmisíteni.</w:t>
      </w:r>
    </w:p>
    <w:p w14:paraId="294BE905" w14:textId="77777777" w:rsidR="00867256" w:rsidRPr="004E1F7C" w:rsidRDefault="00867256" w:rsidP="00867256">
      <w:pPr>
        <w:autoSpaceDE w:val="0"/>
        <w:autoSpaceDN w:val="0"/>
        <w:adjustRightInd w:val="0"/>
        <w:spacing w:after="0" w:line="240" w:lineRule="auto"/>
        <w:ind w:right="84"/>
        <w:jc w:val="both"/>
        <w:rPr>
          <w:rFonts w:ascii="Times New Roman" w:hAnsi="Times New Roman"/>
          <w:sz w:val="25"/>
          <w:szCs w:val="25"/>
        </w:rPr>
      </w:pPr>
    </w:p>
    <w:p w14:paraId="60371EBC"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valamint az annak felhatalmazásán alapuló jogszabályban foglalt kötelezettség </w:t>
      </w:r>
      <w:proofErr w:type="spellStart"/>
      <w:r w:rsidRPr="004E1F7C">
        <w:rPr>
          <w:rFonts w:ascii="Times New Roman" w:hAnsi="Times New Roman"/>
          <w:sz w:val="25"/>
          <w:szCs w:val="25"/>
        </w:rPr>
        <w:t>kötelezettség</w:t>
      </w:r>
      <w:proofErr w:type="spellEnd"/>
      <w:r w:rsidRPr="004E1F7C">
        <w:rPr>
          <w:rFonts w:ascii="Times New Roman" w:hAnsi="Times New Roman"/>
          <w:sz w:val="25"/>
          <w:szCs w:val="25"/>
        </w:rPr>
        <w:t xml:space="preserve"> teljesítése során megismert személyes adatokat a könyvvizsgáló szolgáltató, a tevékenység ellátásában közreműködő vezetője, segítő családtagja és foglalkoztatottja – ideértve a pénzeszköz és vagyon forrására vonatkozó információkat – kizárólag a pénzmosás és terrorizmus finanszírozása megelőzése és megakadályozása érdekében végrehajtandó feladatok céljából, az azok ellátásához szükséges mértékben ismerheti meg és kezelheti. </w:t>
      </w:r>
    </w:p>
    <w:p w14:paraId="3DA2FBCC"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30A2915C"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 a kamara, a pénzügyi információs egység, a nyomozó hatóság, az ügyészség vagy a bíróság megkeresésére a megkeresésben meghatározott ideig, de legfeljebb az üzleti kapcsolat megszűnésétől számított 10 évig kell megőrizni. A megkeresést az adatkezelő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67AF3E80"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48FDAAA9"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46890064"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10E0E4DB"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szolgáltatónak biztosítania kell, hogy az elektronikusan, illetve a papír alapon őrzött adatokhoz jogosulatlan személy ne férhessen hozzá.</w:t>
      </w:r>
    </w:p>
    <w:p w14:paraId="1EB867F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r w:rsidRPr="004E1F7C">
        <w:rPr>
          <w:rFonts w:ascii="Times New Roman" w:hAnsi="Times New Roman" w:cs="Times New Roman"/>
          <w:sz w:val="25"/>
          <w:szCs w:val="25"/>
        </w:rPr>
        <w:br w:type="page"/>
      </w:r>
    </w:p>
    <w:p w14:paraId="23788635" w14:textId="77777777" w:rsidR="00867256" w:rsidRPr="004E1F7C" w:rsidRDefault="00867256" w:rsidP="00867256">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2.1. számú melléklet</w:t>
      </w:r>
    </w:p>
    <w:p w14:paraId="61C16A2E" w14:textId="77777777" w:rsidR="00867256" w:rsidRPr="004E1F7C" w:rsidRDefault="00867256" w:rsidP="00867256">
      <w:pPr>
        <w:spacing w:after="0" w:line="240" w:lineRule="auto"/>
        <w:ind w:right="-1"/>
        <w:jc w:val="right"/>
        <w:rPr>
          <w:rFonts w:ascii="Times New Roman" w:hAnsi="Times New Roman" w:cs="Times New Roman"/>
          <w:sz w:val="25"/>
          <w:szCs w:val="25"/>
        </w:rPr>
      </w:pPr>
    </w:p>
    <w:p w14:paraId="54135920"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054F087B"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440500B8"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EF968DD" w14:textId="77777777" w:rsidR="00867256" w:rsidRPr="004E1F7C" w:rsidRDefault="00867256" w:rsidP="00867256">
      <w:pPr>
        <w:spacing w:after="0" w:line="240" w:lineRule="auto"/>
        <w:ind w:right="-1"/>
        <w:jc w:val="both"/>
        <w:rPr>
          <w:rFonts w:ascii="Times New Roman" w:hAnsi="Times New Roman" w:cs="Times New Roman"/>
          <w:sz w:val="25"/>
          <w:szCs w:val="25"/>
        </w:rPr>
      </w:pPr>
    </w:p>
    <w:p w14:paraId="1138ADD8" w14:textId="77777777" w:rsidR="00867256" w:rsidRPr="004E1F7C" w:rsidRDefault="00867256" w:rsidP="00867256">
      <w:pPr>
        <w:spacing w:after="0" w:line="240" w:lineRule="auto"/>
        <w:ind w:right="-1"/>
        <w:jc w:val="both"/>
        <w:rPr>
          <w:rFonts w:ascii="Times New Roman" w:hAnsi="Times New Roman" w:cs="Times New Roman"/>
          <w:sz w:val="25"/>
          <w:szCs w:val="25"/>
        </w:rPr>
      </w:pPr>
    </w:p>
    <w:p w14:paraId="4671FCDA" w14:textId="77777777" w:rsidR="00867256" w:rsidRPr="004E1F7C" w:rsidRDefault="00867256" w:rsidP="00867256">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1DFE18AE" w14:textId="77777777" w:rsidR="00867256" w:rsidRPr="004E1F7C" w:rsidRDefault="00867256" w:rsidP="00867256">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38058AC0" w14:textId="77777777" w:rsidR="00867256" w:rsidRPr="004E1F7C" w:rsidRDefault="00867256" w:rsidP="00867256">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a </w:t>
      </w:r>
      <w:proofErr w:type="spellStart"/>
      <w:r w:rsidRPr="004E1F7C">
        <w:rPr>
          <w:rFonts w:ascii="Times New Roman" w:hAnsi="Times New Roman" w:cs="Times New Roman"/>
          <w:b/>
          <w:sz w:val="25"/>
          <w:szCs w:val="25"/>
        </w:rPr>
        <w:t>Pmt</w:t>
      </w:r>
      <w:proofErr w:type="spellEnd"/>
      <w:r w:rsidRPr="004E1F7C">
        <w:rPr>
          <w:rFonts w:ascii="Times New Roman" w:hAnsi="Times New Roman" w:cs="Times New Roman"/>
          <w:b/>
          <w:sz w:val="25"/>
          <w:szCs w:val="25"/>
        </w:rPr>
        <w: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47A8C2CA"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30458D76" w14:textId="77777777" w:rsidR="00867256" w:rsidRPr="004E1F7C" w:rsidRDefault="00867256" w:rsidP="00867256">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7750A5AE"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6BF0FECB" w14:textId="77777777" w:rsidR="00867256" w:rsidRPr="004E1F7C" w:rsidRDefault="00867256" w:rsidP="00867256">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176B91E2" w14:textId="77777777" w:rsidR="00867256" w:rsidRPr="004E1F7C" w:rsidRDefault="00867256" w:rsidP="00867256">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14C84061" w14:textId="77777777" w:rsidR="00867256" w:rsidRPr="004E1F7C" w:rsidRDefault="00867256" w:rsidP="00867256">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615A8255" w14:textId="77777777" w:rsidR="00867256" w:rsidRPr="004E1F7C" w:rsidRDefault="00867256" w:rsidP="00867256">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6846E073"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021D995C"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44912262"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0EE0D9C8"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g) azonosító okmányának típusa és száma</w:t>
      </w:r>
    </w:p>
    <w:p w14:paraId="630F7F68"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6497A9FF" w14:textId="77777777" w:rsidR="00867256" w:rsidRPr="004E1F7C" w:rsidRDefault="00867256" w:rsidP="00867256">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p>
    <w:p w14:paraId="29618716" w14:textId="77777777" w:rsidR="00867256" w:rsidRPr="004E1F7C" w:rsidRDefault="00867256" w:rsidP="00867256">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1D881C9A"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székhelyének, külföldi székhelyű vállalkozás esetén – amennyiben ilyennel rendelkezik – magyarországi fióktelepének címe</w:t>
      </w:r>
    </w:p>
    <w:p w14:paraId="09BE0FF9"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5B7776A2"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d) képviseletére jogosultak közül a szerződést aláírók és kapcsolattartók neve és beosztása</w:t>
      </w:r>
    </w:p>
    <w:p w14:paraId="110F0104"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külföldi ügyfél </w:t>
      </w:r>
      <w:r w:rsidRPr="004E1F7C">
        <w:rPr>
          <w:rFonts w:ascii="Times New Roman" w:hAnsi="Times New Roman" w:cs="Times New Roman"/>
          <w:color w:val="auto"/>
          <w:sz w:val="25"/>
          <w:szCs w:val="25"/>
        </w:rPr>
        <w:t>kézbesítési megbízottjának az 1. a) és f) szerinti adatai</w:t>
      </w:r>
    </w:p>
    <w:p w14:paraId="07A6B9F8"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22390576" w14:textId="77777777" w:rsidR="00867256" w:rsidRPr="004E1F7C" w:rsidRDefault="00867256" w:rsidP="00867256">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00933359" w14:textId="77777777" w:rsidR="00867256" w:rsidRPr="004E1F7C" w:rsidRDefault="00867256" w:rsidP="00867256">
      <w:pPr>
        <w:pStyle w:val="Cmsor1"/>
        <w:keepNext w:val="0"/>
        <w:autoSpaceDE w:val="0"/>
        <w:spacing w:before="0" w:line="240" w:lineRule="auto"/>
        <w:ind w:firstLine="198"/>
        <w:jc w:val="both"/>
        <w:rPr>
          <w:rFonts w:ascii="Times New Roman" w:hAnsi="Times New Roman" w:cs="Times New Roman"/>
          <w:bCs/>
          <w:color w:val="auto"/>
          <w:sz w:val="25"/>
          <w:szCs w:val="25"/>
        </w:rPr>
      </w:pPr>
    </w:p>
    <w:p w14:paraId="2A2588A4" w14:textId="77777777" w:rsidR="00867256" w:rsidRPr="004E1F7C" w:rsidRDefault="00867256" w:rsidP="00867256">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7CF7D4F7" w14:textId="77777777" w:rsidR="00867256" w:rsidRPr="004E1F7C" w:rsidRDefault="00867256" w:rsidP="00867256">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típusa, tárgya (a Kkt. 3. § (1) bekezdésének mely pontja szerinti könyvvizsgálói tevékenységre szól a szerződés)</w:t>
      </w:r>
    </w:p>
    <w:p w14:paraId="4AB207D2" w14:textId="77777777" w:rsidR="00867256" w:rsidRPr="004E1F7C" w:rsidRDefault="00867256" w:rsidP="00867256">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p>
    <w:p w14:paraId="2AE2DDBB" w14:textId="77777777" w:rsidR="00867256" w:rsidRPr="004E1F7C" w:rsidRDefault="00867256" w:rsidP="00867256">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p>
    <w:p w14:paraId="5C610BA0" w14:textId="77777777" w:rsidR="00867256" w:rsidRPr="004E1F7C" w:rsidRDefault="00867256" w:rsidP="00867256">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1207D7EA" w14:textId="77777777" w:rsidR="00867256" w:rsidRPr="004E1F7C" w:rsidRDefault="00867256" w:rsidP="00867256">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51F2D6DE" w14:textId="77777777" w:rsidR="00867256" w:rsidRPr="004E1F7C" w:rsidRDefault="00867256" w:rsidP="00867256"/>
    <w:p w14:paraId="6C29D897" w14:textId="77777777" w:rsidR="00867256" w:rsidRPr="004E1F7C" w:rsidRDefault="00867256" w:rsidP="00867256">
      <w:pPr>
        <w:jc w:val="both"/>
        <w:rPr>
          <w:rFonts w:ascii="Times New Roman" w:hAnsi="Times New Roman" w:cs="Times New Roman"/>
          <w:b/>
          <w:sz w:val="25"/>
          <w:szCs w:val="25"/>
        </w:rPr>
      </w:pPr>
    </w:p>
    <w:p w14:paraId="1C66FFCF" w14:textId="77777777" w:rsidR="00867256" w:rsidRPr="004E1F7C" w:rsidRDefault="00867256" w:rsidP="00867256">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367071DB" w14:textId="77777777" w:rsidR="00867256" w:rsidRPr="004E1F7C" w:rsidRDefault="00867256" w:rsidP="00867256">
      <w:pPr>
        <w:pStyle w:val="NormlWeb"/>
        <w:spacing w:before="0" w:beforeAutospacing="0" w:after="0" w:afterAutospacing="0"/>
        <w:ind w:left="960" w:hanging="960"/>
        <w:jc w:val="both"/>
        <w:rPr>
          <w:i/>
          <w:sz w:val="25"/>
          <w:szCs w:val="25"/>
        </w:rPr>
      </w:pPr>
    </w:p>
    <w:p w14:paraId="12CCA73E" w14:textId="77777777" w:rsidR="00867256" w:rsidRPr="004E1F7C" w:rsidRDefault="00867256" w:rsidP="00867256">
      <w:pPr>
        <w:pStyle w:val="NormlWeb"/>
        <w:spacing w:before="0" w:beforeAutospacing="0" w:after="0" w:afterAutospacing="0"/>
        <w:ind w:left="960" w:hanging="960"/>
        <w:jc w:val="both"/>
        <w:rPr>
          <w:i/>
          <w:sz w:val="25"/>
          <w:szCs w:val="25"/>
        </w:rPr>
      </w:pPr>
    </w:p>
    <w:p w14:paraId="5038B057" w14:textId="77777777" w:rsidR="00867256" w:rsidRPr="004E1F7C" w:rsidRDefault="00867256" w:rsidP="00867256">
      <w:pPr>
        <w:pStyle w:val="NormlWeb"/>
        <w:spacing w:before="0" w:beforeAutospacing="0" w:after="0" w:afterAutospacing="0"/>
        <w:ind w:left="960" w:hanging="960"/>
        <w:jc w:val="both"/>
        <w:rPr>
          <w:i/>
          <w:sz w:val="25"/>
          <w:szCs w:val="25"/>
        </w:rPr>
      </w:pPr>
    </w:p>
    <w:p w14:paraId="29D1EA00" w14:textId="77777777" w:rsidR="00867256" w:rsidRPr="004E1F7C" w:rsidRDefault="00867256" w:rsidP="00867256">
      <w:pPr>
        <w:pStyle w:val="NormlWeb"/>
        <w:spacing w:before="0" w:beforeAutospacing="0" w:after="0" w:afterAutospacing="0"/>
        <w:ind w:left="960" w:hanging="960"/>
        <w:jc w:val="center"/>
        <w:rPr>
          <w:i/>
          <w:sz w:val="25"/>
          <w:szCs w:val="25"/>
        </w:rPr>
      </w:pPr>
    </w:p>
    <w:p w14:paraId="750AC728" w14:textId="77777777" w:rsidR="00867256" w:rsidRPr="004E1F7C" w:rsidRDefault="00867256" w:rsidP="00867256">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39873C79" w14:textId="77777777" w:rsidR="00867256" w:rsidRPr="004E1F7C" w:rsidRDefault="00867256" w:rsidP="00867256">
      <w:pPr>
        <w:pStyle w:val="NormlWeb"/>
        <w:spacing w:before="0" w:beforeAutospacing="0" w:after="0" w:afterAutospacing="0"/>
        <w:ind w:left="960" w:hanging="960"/>
        <w:jc w:val="both"/>
        <w:rPr>
          <w:i/>
          <w:sz w:val="25"/>
          <w:szCs w:val="25"/>
        </w:rPr>
      </w:pPr>
    </w:p>
    <w:p w14:paraId="1427BA03" w14:textId="77777777" w:rsidR="00867256" w:rsidRPr="004E1F7C" w:rsidRDefault="00867256" w:rsidP="00867256">
      <w:pPr>
        <w:pStyle w:val="NormlWeb"/>
        <w:spacing w:after="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4E1F7C">
        <w:rPr>
          <w:i/>
          <w:sz w:val="25"/>
          <w:szCs w:val="25"/>
        </w:rPr>
        <w:t>Pmt</w:t>
      </w:r>
      <w:proofErr w:type="spellEnd"/>
      <w:r w:rsidRPr="004E1F7C">
        <w:rPr>
          <w:i/>
          <w:sz w:val="25"/>
          <w:szCs w:val="25"/>
        </w:rPr>
        <w:t xml:space="preserve">.) 7. § (1) bekezdése, a személyazonosság igazoló ellenőrzéséhez szükséges okiratok bemutatását a </w:t>
      </w:r>
      <w:proofErr w:type="spellStart"/>
      <w:r w:rsidRPr="004E1F7C">
        <w:rPr>
          <w:i/>
          <w:sz w:val="25"/>
          <w:szCs w:val="25"/>
        </w:rPr>
        <w:t>Pmt</w:t>
      </w:r>
      <w:proofErr w:type="spellEnd"/>
      <w:r w:rsidRPr="004E1F7C">
        <w:rPr>
          <w:i/>
          <w:sz w:val="25"/>
          <w:szCs w:val="25"/>
        </w:rPr>
        <w:t xml:space="preserve">. 7. § (3) bekezdése írja elő. A szolgáltató a </w:t>
      </w:r>
      <w:proofErr w:type="spellStart"/>
      <w:r w:rsidRPr="004E1F7C">
        <w:rPr>
          <w:i/>
          <w:sz w:val="25"/>
          <w:szCs w:val="25"/>
        </w:rPr>
        <w:t>Pmt</w:t>
      </w:r>
      <w:proofErr w:type="spellEnd"/>
      <w:r w:rsidRPr="004E1F7C">
        <w:rPr>
          <w:i/>
          <w:sz w:val="25"/>
          <w:szCs w:val="25"/>
        </w:rPr>
        <w:t xml:space="preserve">.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Ezen adatokat, okiratot, illetve azok másolatát a könyvvizsgáló szolgáltató a </w:t>
      </w:r>
      <w:proofErr w:type="spellStart"/>
      <w:r w:rsidRPr="004E1F7C">
        <w:rPr>
          <w:i/>
          <w:sz w:val="25"/>
          <w:szCs w:val="25"/>
        </w:rPr>
        <w:t>Pmt</w:t>
      </w:r>
      <w:proofErr w:type="spellEnd"/>
      <w:r w:rsidRPr="004E1F7C">
        <w:rPr>
          <w:i/>
          <w:sz w:val="25"/>
          <w:szCs w:val="25"/>
        </w:rPr>
        <w:t>. értelmében az üzleti kapcsolat megszűnésétől számított nyolc évig köteles megőrizni. A megőrzési határidőt követően a könyvvizsgáló szolgáltató haladéktalanul töröl, illetve megsemmisít adatokat, okiratot, illetve azok másolatát.</w:t>
      </w:r>
    </w:p>
    <w:p w14:paraId="5317C694" w14:textId="77777777" w:rsidR="00867256" w:rsidRPr="004E1F7C" w:rsidRDefault="00867256" w:rsidP="00867256">
      <w:pPr>
        <w:pStyle w:val="NormlWeb"/>
        <w:spacing w:before="0" w:beforeAutospacing="0" w:after="0" w:afterAutospacing="0"/>
        <w:jc w:val="both"/>
        <w:rPr>
          <w:i/>
          <w:sz w:val="25"/>
          <w:szCs w:val="25"/>
        </w:rPr>
      </w:pPr>
    </w:p>
    <w:p w14:paraId="5229EC2A" w14:textId="77777777" w:rsidR="00867256" w:rsidRPr="004E1F7C" w:rsidRDefault="00867256" w:rsidP="00867256">
      <w:pPr>
        <w:pStyle w:val="NormlWeb"/>
        <w:spacing w:before="0" w:beforeAutospacing="0" w:after="0" w:afterAutospacing="0"/>
        <w:jc w:val="both"/>
        <w:rPr>
          <w:i/>
          <w:sz w:val="25"/>
          <w:szCs w:val="25"/>
        </w:rPr>
      </w:pPr>
    </w:p>
    <w:p w14:paraId="2D55DD47" w14:textId="77777777" w:rsidR="00867256" w:rsidRPr="004E1F7C" w:rsidRDefault="00867256" w:rsidP="00867256">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5216B459" w14:textId="77777777" w:rsidR="00867256" w:rsidRPr="004E1F7C" w:rsidRDefault="00867256" w:rsidP="00867256">
      <w:pPr>
        <w:pStyle w:val="NormlWeb"/>
        <w:spacing w:before="0" w:beforeAutospacing="0" w:after="0" w:afterAutospacing="0"/>
        <w:jc w:val="both"/>
        <w:rPr>
          <w:i/>
          <w:sz w:val="25"/>
          <w:szCs w:val="25"/>
        </w:rPr>
      </w:pPr>
    </w:p>
    <w:p w14:paraId="4C11A614" w14:textId="77777777" w:rsidR="00867256" w:rsidRPr="004E1F7C" w:rsidRDefault="00867256" w:rsidP="00867256">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5C1D2EBF" w14:textId="77777777" w:rsidR="00867256" w:rsidRPr="004E1F7C" w:rsidRDefault="00867256" w:rsidP="00867256">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66973B4A" w14:textId="77777777" w:rsidR="00867256" w:rsidRPr="004E1F7C" w:rsidRDefault="00867256" w:rsidP="00867256">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Pr="004E1F7C">
        <w:rPr>
          <w:sz w:val="25"/>
          <w:szCs w:val="25"/>
        </w:rPr>
        <w:br w:type="page"/>
      </w:r>
    </w:p>
    <w:p w14:paraId="52CA60EB" w14:textId="77777777" w:rsidR="00867256" w:rsidRPr="004E1F7C" w:rsidRDefault="00867256" w:rsidP="00867256">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38F50BCF" w14:textId="77777777" w:rsidR="00867256" w:rsidRPr="004E1F7C" w:rsidRDefault="00867256" w:rsidP="00867256">
      <w:pPr>
        <w:spacing w:after="0" w:line="240" w:lineRule="auto"/>
        <w:ind w:right="-1"/>
        <w:jc w:val="right"/>
        <w:rPr>
          <w:rFonts w:ascii="Times New Roman" w:hAnsi="Times New Roman" w:cs="Times New Roman"/>
          <w:sz w:val="25"/>
          <w:szCs w:val="25"/>
        </w:rPr>
      </w:pPr>
    </w:p>
    <w:p w14:paraId="2BD2E861"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5529A575"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39BD59A3"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30249DC7"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07C5B3C9" w14:textId="77777777" w:rsidR="00867256" w:rsidRPr="004E1F7C" w:rsidRDefault="00867256" w:rsidP="00867256">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468EED5A" w14:textId="77777777" w:rsidR="00867256" w:rsidRPr="004E1F7C" w:rsidRDefault="00867256" w:rsidP="00867256">
      <w:pPr>
        <w:pStyle w:val="Cmsor1"/>
        <w:autoSpaceDE w:val="0"/>
        <w:spacing w:before="0" w:line="240" w:lineRule="auto"/>
        <w:jc w:val="both"/>
        <w:rPr>
          <w:rFonts w:ascii="Times New Roman" w:hAnsi="Times New Roman" w:cs="Times New Roman"/>
          <w:color w:val="auto"/>
          <w:sz w:val="25"/>
          <w:szCs w:val="25"/>
        </w:rPr>
      </w:pPr>
    </w:p>
    <w:p w14:paraId="74346C89" w14:textId="77777777" w:rsidR="00867256" w:rsidRPr="004E1F7C" w:rsidRDefault="00867256" w:rsidP="00867256">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 xml:space="preserve">Alulírott ………………………………….. (ügyfél képviselője), mint a …....................................... (szervezet ügyfél neve) képviselője, a pénzmosás és a terrorizmus finanszírozása megelőzéséről és megakadályozásáról szóló 2017. évi LIII. törvény (továbbiakban: </w:t>
      </w:r>
      <w:proofErr w:type="spellStart"/>
      <w:r w:rsidRPr="004E1F7C">
        <w:rPr>
          <w:rFonts w:ascii="Times New Roman" w:hAnsi="Times New Roman" w:cs="Times New Roman"/>
          <w:color w:val="auto"/>
          <w:sz w:val="25"/>
          <w:szCs w:val="25"/>
        </w:rPr>
        <w:t>Pmt</w:t>
      </w:r>
      <w:proofErr w:type="spellEnd"/>
      <w:r w:rsidRPr="004E1F7C">
        <w:rPr>
          <w:rFonts w:ascii="Times New Roman" w:hAnsi="Times New Roman" w:cs="Times New Roman"/>
          <w:color w:val="auto"/>
          <w:sz w:val="25"/>
          <w:szCs w:val="25"/>
        </w:rPr>
        <w:t>.) 9. § (1) bekezdése előírásának megfelelően a szervezet ügyfél tényleges tulajdonosára vonatkozó adatokról az alábbiak szerint nyilatkozom:</w:t>
      </w:r>
    </w:p>
    <w:p w14:paraId="1A34B19E" w14:textId="77777777" w:rsidR="00867256" w:rsidRPr="004E1F7C" w:rsidRDefault="00867256" w:rsidP="00867256"/>
    <w:p w14:paraId="728EB8F6"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85AA8E8"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790EA9B7"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állampolgárság:</w:t>
      </w:r>
    </w:p>
    <w:p w14:paraId="4291BEBA"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születési hely, idő:</w:t>
      </w:r>
    </w:p>
    <w:p w14:paraId="6C4EB91D"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3207BAF"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a tulajdonosi érdekeltség jellegét és mértéke:</w:t>
      </w:r>
    </w:p>
    <w:p w14:paraId="30359CA7" w14:textId="77777777" w:rsidR="00867256" w:rsidRPr="004E1F7C" w:rsidRDefault="00867256" w:rsidP="00867256">
      <w:pPr>
        <w:autoSpaceDE w:val="0"/>
        <w:spacing w:after="0" w:line="240" w:lineRule="auto"/>
        <w:jc w:val="both"/>
        <w:rPr>
          <w:rFonts w:ascii="Times New Roman" w:hAnsi="Times New Roman" w:cs="Times New Roman"/>
          <w:b/>
          <w:sz w:val="25"/>
          <w:szCs w:val="25"/>
        </w:rPr>
      </w:pPr>
    </w:p>
    <w:p w14:paraId="13C76F5D" w14:textId="77777777" w:rsidR="00867256" w:rsidRPr="004E1F7C" w:rsidRDefault="00867256" w:rsidP="00867256">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 (a megfelelő rész aláhúzandó):</w:t>
      </w:r>
    </w:p>
    <w:p w14:paraId="6507FB34" w14:textId="77777777" w:rsidR="00867256" w:rsidRPr="004E1F7C" w:rsidRDefault="00867256" w:rsidP="00867256">
      <w:pPr>
        <w:autoSpaceDE w:val="0"/>
        <w:spacing w:after="0" w:line="240" w:lineRule="auto"/>
        <w:jc w:val="both"/>
        <w:rPr>
          <w:rFonts w:ascii="Times New Roman" w:hAnsi="Times New Roman" w:cs="Times New Roman"/>
          <w:sz w:val="25"/>
          <w:szCs w:val="25"/>
        </w:rPr>
      </w:pPr>
    </w:p>
    <w:p w14:paraId="7E3CF179" w14:textId="77777777" w:rsidR="00867256" w:rsidRPr="004E1F7C" w:rsidRDefault="00867256" w:rsidP="00867256">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 / nem minősül kiemelt közszereplőnek;</w:t>
      </w:r>
    </w:p>
    <w:p w14:paraId="0308AB44" w14:textId="77777777" w:rsidR="00867256" w:rsidRPr="004E1F7C" w:rsidRDefault="00867256" w:rsidP="00867256">
      <w:pPr>
        <w:spacing w:after="0" w:line="240" w:lineRule="auto"/>
        <w:jc w:val="both"/>
        <w:rPr>
          <w:rFonts w:ascii="Times New Roman" w:hAnsi="Times New Roman" w:cs="Times New Roman"/>
          <w:sz w:val="25"/>
          <w:szCs w:val="25"/>
        </w:rPr>
      </w:pPr>
    </w:p>
    <w:p w14:paraId="7E9F105D" w14:textId="77777777" w:rsidR="00867256" w:rsidRPr="004E1F7C" w:rsidRDefault="00867256" w:rsidP="00867256">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 / nem közeli hozzátartozója, élettársa;</w:t>
      </w:r>
    </w:p>
    <w:p w14:paraId="3743B6A0" w14:textId="77777777" w:rsidR="00867256" w:rsidRPr="004E1F7C" w:rsidRDefault="00867256" w:rsidP="00867256">
      <w:pPr>
        <w:spacing w:after="0" w:line="240" w:lineRule="auto"/>
        <w:ind w:left="705" w:hanging="345"/>
        <w:jc w:val="both"/>
        <w:rPr>
          <w:rFonts w:ascii="Times New Roman" w:hAnsi="Times New Roman" w:cs="Times New Roman"/>
          <w:sz w:val="25"/>
          <w:szCs w:val="25"/>
        </w:rPr>
      </w:pPr>
    </w:p>
    <w:p w14:paraId="3BC1E5D4" w14:textId="77777777" w:rsidR="00867256" w:rsidRPr="004E1F7C" w:rsidRDefault="00867256" w:rsidP="00867256">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 xml:space="preserve">kiemelt közszereplőnek számító személlyel közismerten közeli kapcsolatban áll/nem áll. </w:t>
      </w:r>
    </w:p>
    <w:p w14:paraId="189AB75B" w14:textId="77777777" w:rsidR="00867256" w:rsidRPr="004E1F7C" w:rsidRDefault="00867256" w:rsidP="00867256">
      <w:pPr>
        <w:spacing w:after="0" w:line="240" w:lineRule="auto"/>
        <w:ind w:left="705" w:hanging="345"/>
        <w:jc w:val="both"/>
        <w:rPr>
          <w:rFonts w:ascii="Times New Roman" w:hAnsi="Times New Roman" w:cs="Times New Roman"/>
          <w:i/>
          <w:iCs/>
          <w:sz w:val="25"/>
          <w:szCs w:val="25"/>
        </w:rPr>
      </w:pPr>
    </w:p>
    <w:p w14:paraId="0278E086" w14:textId="77777777" w:rsidR="00867256" w:rsidRPr="004E1F7C" w:rsidRDefault="00867256" w:rsidP="00867256">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724A2C93" w14:textId="77777777" w:rsidR="00867256" w:rsidRPr="004E1F7C" w:rsidRDefault="00867256" w:rsidP="00867256">
      <w:pPr>
        <w:spacing w:after="0" w:line="240" w:lineRule="auto"/>
        <w:jc w:val="both"/>
        <w:rPr>
          <w:rFonts w:ascii="Times New Roman" w:hAnsi="Times New Roman" w:cs="Times New Roman"/>
          <w:sz w:val="25"/>
          <w:szCs w:val="25"/>
        </w:rPr>
      </w:pPr>
    </w:p>
    <w:p w14:paraId="229CF094"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79C61AD4"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országgyűlési képviselő vagy a hasonló jogalkotó szerv tagja, Magyarországon az országgyűlési képviselő és a nemzetiségi szószóló,</w:t>
      </w:r>
    </w:p>
    <w:p w14:paraId="400038A4"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6389CEB5"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38CBDB82"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7FB0D753"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4E1F7C">
        <w:rPr>
          <w:rFonts w:ascii="Times New Roman" w:hAnsi="Times New Roman"/>
          <w:sz w:val="25"/>
          <w:szCs w:val="25"/>
        </w:rPr>
        <w:lastRenderedPageBreak/>
        <w:t>vezetője és annak helyettese, valamint a Honvéd Vezérkar főnöke és a Honvéd Vezérkar főnökének helyettesei,</w:t>
      </w:r>
    </w:p>
    <w:p w14:paraId="3E4187D5"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7304D9CE"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 vagy ezzel egyenértékű feladatot ellátó személy</w:t>
      </w:r>
    </w:p>
    <w:p w14:paraId="1C24B577" w14:textId="77777777" w:rsidR="00867256" w:rsidRPr="004E1F7C" w:rsidRDefault="00867256" w:rsidP="00867256">
      <w:pPr>
        <w:pStyle w:val="Listaszerbekezds"/>
        <w:spacing w:after="0" w:line="240" w:lineRule="auto"/>
        <w:ind w:left="960"/>
        <w:jc w:val="both"/>
        <w:rPr>
          <w:rFonts w:ascii="Times New Roman" w:hAnsi="Times New Roman"/>
          <w:sz w:val="25"/>
          <w:szCs w:val="25"/>
        </w:rPr>
      </w:pPr>
    </w:p>
    <w:p w14:paraId="475252FF" w14:textId="77777777" w:rsidR="00867256" w:rsidRPr="004E1F7C" w:rsidRDefault="00867256" w:rsidP="00867256">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3C46E664" w14:textId="77777777" w:rsidR="00867256" w:rsidRPr="004E1F7C" w:rsidRDefault="00867256" w:rsidP="00867256">
      <w:pPr>
        <w:pStyle w:val="NormlWeb"/>
        <w:spacing w:before="0" w:beforeAutospacing="0" w:after="0" w:afterAutospacing="0"/>
        <w:ind w:left="960" w:hanging="960"/>
        <w:jc w:val="both"/>
        <w:rPr>
          <w:sz w:val="25"/>
          <w:szCs w:val="25"/>
        </w:rPr>
      </w:pPr>
    </w:p>
    <w:p w14:paraId="0701576F" w14:textId="77777777" w:rsidR="00867256" w:rsidRPr="004E1F7C" w:rsidRDefault="00867256" w:rsidP="00867256">
      <w:pPr>
        <w:pStyle w:val="NormlWeb"/>
        <w:spacing w:before="0" w:beforeAutospacing="0" w:after="0" w:afterAutospacing="0"/>
        <w:ind w:left="960" w:hanging="960"/>
        <w:jc w:val="both"/>
        <w:rPr>
          <w:i/>
          <w:sz w:val="25"/>
          <w:szCs w:val="25"/>
        </w:rPr>
      </w:pPr>
    </w:p>
    <w:p w14:paraId="5983ED47" w14:textId="77777777" w:rsidR="00867256" w:rsidRPr="004E1F7C" w:rsidRDefault="00867256" w:rsidP="00867256">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3532A039" w14:textId="77777777" w:rsidR="00867256" w:rsidRPr="004E1F7C" w:rsidRDefault="00867256" w:rsidP="00867256">
      <w:pPr>
        <w:pStyle w:val="NormlWeb"/>
        <w:spacing w:before="0" w:beforeAutospacing="0" w:after="0" w:afterAutospacing="0"/>
        <w:ind w:left="960" w:hanging="960"/>
        <w:jc w:val="both"/>
        <w:rPr>
          <w:i/>
          <w:sz w:val="25"/>
          <w:szCs w:val="25"/>
        </w:rPr>
      </w:pPr>
    </w:p>
    <w:p w14:paraId="723985F8" w14:textId="77777777" w:rsidR="00867256" w:rsidRPr="004E1F7C" w:rsidRDefault="00867256" w:rsidP="00867256">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4E1F7C">
        <w:rPr>
          <w:i/>
          <w:sz w:val="25"/>
          <w:szCs w:val="25"/>
        </w:rPr>
        <w:t>Pmt</w:t>
      </w:r>
      <w:proofErr w:type="spellEnd"/>
      <w:r w:rsidRPr="004E1F7C">
        <w:rPr>
          <w:i/>
          <w:sz w:val="25"/>
          <w:szCs w:val="25"/>
        </w:rPr>
        <w:t xml:space="preserve">.) 9. § (1)-(2) bekezdése, a személyazonosság igazoló ellenőrzéséhez szükséges okiratok bemutatását a </w:t>
      </w:r>
      <w:proofErr w:type="spellStart"/>
      <w:r w:rsidRPr="004E1F7C">
        <w:rPr>
          <w:i/>
          <w:sz w:val="25"/>
          <w:szCs w:val="25"/>
        </w:rPr>
        <w:t>Pmt</w:t>
      </w:r>
      <w:proofErr w:type="spellEnd"/>
      <w:r w:rsidRPr="004E1F7C">
        <w:rPr>
          <w:i/>
          <w:sz w:val="25"/>
          <w:szCs w:val="25"/>
        </w:rPr>
        <w:t xml:space="preserve">. 9. § (4) bekezdése írja elő. </w:t>
      </w:r>
    </w:p>
    <w:p w14:paraId="23D55E13" w14:textId="77777777" w:rsidR="00867256" w:rsidRPr="004E1F7C" w:rsidRDefault="00867256" w:rsidP="00867256">
      <w:pPr>
        <w:pStyle w:val="NormlWeb"/>
        <w:spacing w:before="0" w:beforeAutospacing="0" w:after="0" w:afterAutospacing="0"/>
        <w:jc w:val="both"/>
        <w:rPr>
          <w:i/>
          <w:sz w:val="25"/>
          <w:szCs w:val="25"/>
        </w:rPr>
      </w:pPr>
    </w:p>
    <w:p w14:paraId="4B86D6CB" w14:textId="77777777" w:rsidR="00867256" w:rsidRPr="004E1F7C" w:rsidRDefault="00867256" w:rsidP="00867256">
      <w:pPr>
        <w:tabs>
          <w:tab w:val="left" w:pos="360"/>
        </w:tabs>
        <w:suppressAutoHyphens/>
        <w:spacing w:after="0" w:line="240" w:lineRule="auto"/>
        <w:jc w:val="both"/>
        <w:rPr>
          <w:rFonts w:ascii="Times New Roman" w:hAnsi="Times New Roman" w:cs="Times New Roman"/>
          <w:i/>
          <w:sz w:val="25"/>
          <w:szCs w:val="25"/>
        </w:rPr>
      </w:pPr>
      <w:r w:rsidRPr="004E1F7C">
        <w:rPr>
          <w:rFonts w:ascii="Times New Roman" w:hAnsi="Times New Roman" w:cs="Times New Roman"/>
          <w:i/>
          <w:sz w:val="25"/>
          <w:szCs w:val="25"/>
        </w:rPr>
        <w:t xml:space="preserve">Alulírott </w:t>
      </w:r>
      <w:r w:rsidRPr="004E1F7C">
        <w:rPr>
          <w:rFonts w:ascii="Times New Roman" w:hAnsi="Times New Roman" w:cs="Times New Roman"/>
          <w:b/>
          <w:i/>
          <w:sz w:val="25"/>
          <w:szCs w:val="25"/>
        </w:rPr>
        <w:t xml:space="preserve">hozzájárulok / nem járulok hozzá </w:t>
      </w:r>
      <w:r w:rsidRPr="004E1F7C">
        <w:rPr>
          <w:rFonts w:ascii="Times New Roman" w:hAnsi="Times New Roman" w:cs="Times New Roman"/>
          <w:i/>
          <w:sz w:val="25"/>
          <w:szCs w:val="25"/>
        </w:rPr>
        <w:t xml:space="preserve">ahhoz, hogy a </w:t>
      </w:r>
      <w:proofErr w:type="spellStart"/>
      <w:r w:rsidRPr="004E1F7C">
        <w:rPr>
          <w:rFonts w:ascii="Times New Roman" w:hAnsi="Times New Roman" w:cs="Times New Roman"/>
          <w:i/>
          <w:sz w:val="25"/>
          <w:szCs w:val="25"/>
        </w:rPr>
        <w:t>Pmt</w:t>
      </w:r>
      <w:proofErr w:type="spellEnd"/>
      <w:r w:rsidRPr="004E1F7C">
        <w:rPr>
          <w:rFonts w:ascii="Times New Roman" w:hAnsi="Times New Roman" w:cs="Times New Roman"/>
          <w:i/>
          <w:sz w:val="25"/>
          <w:szCs w:val="25"/>
        </w:rPr>
        <w:t>. szerinti ügyfél-átvilágítás során bemutatott okiratokról a szolgáltató másolatokat készítsen.</w:t>
      </w:r>
    </w:p>
    <w:p w14:paraId="0EEB0610" w14:textId="77777777" w:rsidR="00867256" w:rsidRPr="004E1F7C" w:rsidRDefault="00867256" w:rsidP="00867256">
      <w:pPr>
        <w:jc w:val="both"/>
        <w:rPr>
          <w:rFonts w:ascii="Times New Roman" w:hAnsi="Times New Roman" w:cs="Times New Roman"/>
          <w:i/>
          <w:sz w:val="25"/>
          <w:szCs w:val="25"/>
        </w:rPr>
      </w:pPr>
    </w:p>
    <w:p w14:paraId="69543EE5" w14:textId="77777777" w:rsidR="00867256" w:rsidRPr="004E1F7C" w:rsidRDefault="00867256" w:rsidP="00867256">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5FFDC20A" w14:textId="77777777" w:rsidR="00867256" w:rsidRPr="004E1F7C" w:rsidRDefault="00867256" w:rsidP="00867256">
      <w:pPr>
        <w:pStyle w:val="NormlWeb"/>
        <w:spacing w:before="0" w:beforeAutospacing="0" w:after="0" w:afterAutospacing="0"/>
        <w:jc w:val="both"/>
        <w:rPr>
          <w:i/>
          <w:sz w:val="25"/>
          <w:szCs w:val="25"/>
        </w:rPr>
      </w:pPr>
    </w:p>
    <w:p w14:paraId="2509D439" w14:textId="77777777" w:rsidR="00867256" w:rsidRPr="004E1F7C" w:rsidRDefault="00867256" w:rsidP="00867256">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051F5957" w14:textId="77777777" w:rsidR="00867256" w:rsidRPr="004E1F7C" w:rsidRDefault="00867256" w:rsidP="00867256">
      <w:pPr>
        <w:pStyle w:val="NormlWeb"/>
        <w:spacing w:before="0" w:beforeAutospacing="0" w:after="0" w:afterAutospacing="0"/>
        <w:jc w:val="both"/>
        <w:rPr>
          <w:i/>
          <w:sz w:val="25"/>
          <w:szCs w:val="25"/>
        </w:rPr>
      </w:pPr>
    </w:p>
    <w:p w14:paraId="1EB30EC9" w14:textId="77777777" w:rsidR="00867256" w:rsidRPr="004E1F7C" w:rsidRDefault="00867256" w:rsidP="00867256">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564B06FD" w14:textId="77777777" w:rsidR="00867256" w:rsidRPr="004E1F7C" w:rsidRDefault="00867256" w:rsidP="00867256">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17580D2D" w14:textId="77777777" w:rsidR="00867256" w:rsidRPr="004E1F7C" w:rsidRDefault="00867256" w:rsidP="00867256">
      <w:pPr>
        <w:pStyle w:val="NormlWeb"/>
        <w:spacing w:before="0" w:beforeAutospacing="0" w:after="0" w:afterAutospacing="0"/>
        <w:ind w:left="960" w:hanging="960"/>
        <w:jc w:val="both"/>
        <w:rPr>
          <w:sz w:val="25"/>
          <w:szCs w:val="25"/>
        </w:rPr>
      </w:pPr>
    </w:p>
    <w:p w14:paraId="27FE3517" w14:textId="77777777" w:rsidR="00867256" w:rsidRPr="004E1F7C" w:rsidRDefault="00867256" w:rsidP="00867256">
      <w:pPr>
        <w:pStyle w:val="NormlWeb"/>
        <w:spacing w:before="0" w:beforeAutospacing="0" w:after="0" w:afterAutospacing="0"/>
        <w:jc w:val="both"/>
        <w:rPr>
          <w:sz w:val="25"/>
          <w:szCs w:val="25"/>
        </w:rPr>
      </w:pPr>
      <w:r w:rsidRPr="004E1F7C">
        <w:rPr>
          <w:sz w:val="25"/>
          <w:szCs w:val="25"/>
        </w:rPr>
        <w:t xml:space="preserve"> </w:t>
      </w:r>
    </w:p>
    <w:p w14:paraId="5E47809B" w14:textId="77777777" w:rsidR="00867256" w:rsidRPr="004E1F7C" w:rsidRDefault="00867256" w:rsidP="00867256">
      <w:pPr>
        <w:keepNext/>
        <w:spacing w:after="0" w:line="240" w:lineRule="auto"/>
        <w:jc w:val="both"/>
        <w:outlineLvl w:val="0"/>
        <w:rPr>
          <w:rFonts w:ascii="Times New Roman" w:eastAsia="Times New Roman" w:hAnsi="Times New Roman" w:cs="Times New Roman"/>
          <w:sz w:val="25"/>
          <w:szCs w:val="25"/>
          <w:lang w:eastAsia="hu-HU"/>
        </w:rPr>
      </w:pPr>
    </w:p>
    <w:p w14:paraId="781D9E8F" w14:textId="77777777" w:rsidR="00867256" w:rsidRPr="004E1F7C" w:rsidRDefault="00867256" w:rsidP="00867256">
      <w:pPr>
        <w:spacing w:after="0" w:line="240" w:lineRule="auto"/>
        <w:jc w:val="both"/>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br w:type="page"/>
      </w:r>
    </w:p>
    <w:p w14:paraId="2358D581" w14:textId="77777777" w:rsidR="00867256" w:rsidRPr="004E1F7C" w:rsidRDefault="00867256" w:rsidP="00867256">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22036B97" w14:textId="77777777" w:rsidR="00867256" w:rsidRPr="004E1F7C" w:rsidRDefault="00867256" w:rsidP="00867256">
      <w:pPr>
        <w:spacing w:after="0"/>
        <w:ind w:right="-1"/>
        <w:jc w:val="both"/>
        <w:rPr>
          <w:rFonts w:ascii="Times New Roman" w:hAnsi="Times New Roman" w:cs="Times New Roman"/>
          <w:b/>
          <w:sz w:val="25"/>
          <w:szCs w:val="25"/>
        </w:rPr>
      </w:pPr>
    </w:p>
    <w:p w14:paraId="78433C65" w14:textId="77777777" w:rsidR="00867256" w:rsidRPr="004E1F7C" w:rsidRDefault="00867256" w:rsidP="00867256">
      <w:pPr>
        <w:spacing w:after="0"/>
        <w:ind w:right="-1"/>
        <w:jc w:val="both"/>
        <w:rPr>
          <w:rFonts w:ascii="Times New Roman" w:hAnsi="Times New Roman" w:cs="Times New Roman"/>
          <w:b/>
          <w:sz w:val="25"/>
          <w:szCs w:val="25"/>
        </w:rPr>
      </w:pPr>
    </w:p>
    <w:p w14:paraId="4670E5E7" w14:textId="77777777" w:rsidR="00867256" w:rsidRPr="004E1F7C" w:rsidRDefault="00867256" w:rsidP="00867256">
      <w:pPr>
        <w:spacing w:after="0"/>
        <w:ind w:right="-1"/>
        <w:jc w:val="both"/>
        <w:rPr>
          <w:rFonts w:ascii="Times New Roman" w:hAnsi="Times New Roman" w:cs="Times New Roman"/>
          <w:b/>
          <w:sz w:val="25"/>
          <w:szCs w:val="25"/>
        </w:rPr>
      </w:pPr>
    </w:p>
    <w:p w14:paraId="7430A874" w14:textId="77777777" w:rsidR="00867256" w:rsidRPr="004E1F7C" w:rsidRDefault="00867256" w:rsidP="00867256">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09BB6CAB" w14:textId="77777777" w:rsidR="00867256" w:rsidRPr="004E1F7C" w:rsidRDefault="00867256" w:rsidP="00867256">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76449FC7" w14:textId="77777777" w:rsidR="00867256" w:rsidRPr="004E1F7C" w:rsidRDefault="00867256" w:rsidP="00867256">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41B29652" w14:textId="77777777" w:rsidR="00867256" w:rsidRPr="004E1F7C" w:rsidRDefault="00867256" w:rsidP="00867256">
      <w:pPr>
        <w:spacing w:after="0"/>
        <w:ind w:right="-1"/>
        <w:jc w:val="center"/>
        <w:rPr>
          <w:rFonts w:ascii="Times New Roman" w:hAnsi="Times New Roman" w:cs="Times New Roman"/>
          <w:sz w:val="25"/>
          <w:szCs w:val="25"/>
        </w:rPr>
      </w:pPr>
    </w:p>
    <w:p w14:paraId="7B3D9988" w14:textId="77777777" w:rsidR="00867256" w:rsidRPr="004E1F7C" w:rsidRDefault="00867256" w:rsidP="00867256">
      <w:pPr>
        <w:spacing w:after="0"/>
        <w:ind w:right="-1"/>
        <w:jc w:val="both"/>
        <w:rPr>
          <w:rFonts w:ascii="Times New Roman" w:hAnsi="Times New Roman" w:cs="Times New Roman"/>
          <w:sz w:val="25"/>
          <w:szCs w:val="25"/>
        </w:rPr>
      </w:pPr>
    </w:p>
    <w:p w14:paraId="0537FD22"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4FF6A53E" w14:textId="77777777" w:rsidR="00867256" w:rsidRPr="004E1F7C" w:rsidRDefault="00867256" w:rsidP="00867256">
      <w:pPr>
        <w:spacing w:after="0"/>
        <w:ind w:right="-1"/>
        <w:jc w:val="both"/>
        <w:rPr>
          <w:rFonts w:ascii="Times New Roman" w:hAnsi="Times New Roman" w:cs="Times New Roman"/>
          <w:sz w:val="25"/>
          <w:szCs w:val="25"/>
        </w:rPr>
      </w:pPr>
    </w:p>
    <w:p w14:paraId="442E1596"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36FF0212" w14:textId="77777777" w:rsidR="00867256" w:rsidRPr="004E1F7C" w:rsidRDefault="00867256" w:rsidP="00867256">
      <w:pPr>
        <w:spacing w:after="0"/>
        <w:ind w:right="-1"/>
        <w:jc w:val="both"/>
        <w:rPr>
          <w:rFonts w:ascii="Times New Roman" w:hAnsi="Times New Roman" w:cs="Times New Roman"/>
          <w:sz w:val="25"/>
          <w:szCs w:val="25"/>
        </w:rPr>
      </w:pPr>
    </w:p>
    <w:p w14:paraId="6FFF3990"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D503F07" w14:textId="77777777" w:rsidR="00867256" w:rsidRPr="004E1F7C" w:rsidRDefault="00867256" w:rsidP="00867256">
      <w:pPr>
        <w:spacing w:after="0"/>
        <w:ind w:right="-1"/>
        <w:jc w:val="both"/>
        <w:rPr>
          <w:rFonts w:ascii="Times New Roman" w:hAnsi="Times New Roman" w:cs="Times New Roman"/>
          <w:sz w:val="25"/>
          <w:szCs w:val="25"/>
        </w:rPr>
      </w:pPr>
    </w:p>
    <w:p w14:paraId="7A8EB0CD"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4F21B0B1" w14:textId="77777777" w:rsidR="00867256" w:rsidRPr="004E1F7C" w:rsidRDefault="00867256" w:rsidP="00867256">
      <w:pPr>
        <w:spacing w:after="0"/>
        <w:ind w:right="-1"/>
        <w:jc w:val="both"/>
        <w:rPr>
          <w:rFonts w:ascii="Times New Roman" w:hAnsi="Times New Roman" w:cs="Times New Roman"/>
          <w:sz w:val="25"/>
          <w:szCs w:val="25"/>
        </w:rPr>
      </w:pPr>
    </w:p>
    <w:p w14:paraId="5A8458D5"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2250B7C0" w14:textId="77777777" w:rsidR="00867256" w:rsidRPr="004E1F7C" w:rsidRDefault="00867256" w:rsidP="00867256">
      <w:pPr>
        <w:spacing w:after="0"/>
        <w:ind w:right="-1"/>
        <w:jc w:val="both"/>
        <w:rPr>
          <w:rFonts w:ascii="Times New Roman" w:hAnsi="Times New Roman" w:cs="Times New Roman"/>
          <w:sz w:val="25"/>
          <w:szCs w:val="25"/>
        </w:rPr>
      </w:pPr>
    </w:p>
    <w:p w14:paraId="0DA60876"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359F43D3" w14:textId="77777777" w:rsidR="00867256" w:rsidRPr="004E1F7C" w:rsidRDefault="00867256" w:rsidP="00867256">
      <w:pPr>
        <w:spacing w:after="0"/>
        <w:ind w:right="-1"/>
        <w:jc w:val="both"/>
        <w:rPr>
          <w:rFonts w:ascii="Times New Roman" w:hAnsi="Times New Roman" w:cs="Times New Roman"/>
          <w:sz w:val="25"/>
          <w:szCs w:val="25"/>
        </w:rPr>
      </w:pPr>
    </w:p>
    <w:p w14:paraId="39F9CEE5" w14:textId="77777777" w:rsidR="00867256" w:rsidRPr="004E1F7C" w:rsidRDefault="00867256" w:rsidP="00867256">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bejelentésben szereplő ügyfél és a tényleges tulajdonos azonosító adatai, az üzleti kapcsolat adatai</w:t>
      </w:r>
    </w:p>
    <w:p w14:paraId="3F82E77B" w14:textId="77777777" w:rsidR="00867256" w:rsidRPr="004E1F7C" w:rsidRDefault="00867256" w:rsidP="00867256">
      <w:pPr>
        <w:tabs>
          <w:tab w:val="right" w:leader="dot" w:pos="9071"/>
        </w:tabs>
        <w:spacing w:after="0"/>
        <w:jc w:val="both"/>
        <w:rPr>
          <w:rFonts w:ascii="Times New Roman" w:hAnsi="Times New Roman" w:cs="Times New Roman"/>
          <w:sz w:val="25"/>
          <w:szCs w:val="25"/>
        </w:rPr>
      </w:pPr>
    </w:p>
    <w:p w14:paraId="1BF72DAE" w14:textId="77777777" w:rsidR="00867256" w:rsidRPr="004E1F7C" w:rsidRDefault="00867256" w:rsidP="00867256">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74A03770"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p>
    <w:p w14:paraId="417BAB9D" w14:textId="77777777" w:rsidR="00867256" w:rsidRPr="004E1F7C" w:rsidRDefault="00867256" w:rsidP="00867256">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40737D7A"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családi és utónév: </w:t>
      </w:r>
    </w:p>
    <w:p w14:paraId="29A18A30"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állampolgárság: </w:t>
      </w:r>
    </w:p>
    <w:p w14:paraId="353F1740"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506BB47C"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4EF7E8C4"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hely:</w:t>
      </w:r>
    </w:p>
    <w:p w14:paraId="17A97A60"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típusa, annak száma: </w:t>
      </w:r>
    </w:p>
    <w:p w14:paraId="5BC8802D"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35EA2D3E" w14:textId="77777777" w:rsidR="00867256" w:rsidRPr="004E1F7C" w:rsidRDefault="00867256" w:rsidP="00867256">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73D676C4" w14:textId="77777777" w:rsidR="00867256" w:rsidRPr="004E1F7C" w:rsidRDefault="00867256" w:rsidP="00867256">
      <w:pPr>
        <w:tabs>
          <w:tab w:val="right" w:leader="dot" w:pos="9071"/>
        </w:tabs>
        <w:spacing w:after="0"/>
        <w:ind w:left="284"/>
        <w:jc w:val="both"/>
        <w:rPr>
          <w:rFonts w:ascii="Times New Roman" w:hAnsi="Times New Roman" w:cs="Times New Roman"/>
          <w:b/>
          <w:bCs/>
          <w:i/>
          <w:iCs/>
          <w:sz w:val="25"/>
          <w:szCs w:val="25"/>
        </w:rPr>
      </w:pPr>
    </w:p>
    <w:p w14:paraId="059735D7"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4F93DAB"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 amennyiben ilyennel rendelkezik – a magyarországi fióktelep címe: </w:t>
      </w:r>
    </w:p>
    <w:p w14:paraId="38BF8451"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4. főtevékenység: </w:t>
      </w:r>
    </w:p>
    <w:p w14:paraId="2643DDEF"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14A5F0BE"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6. külföldi ügyfél kézbesítési megbízottjának A/1. és A/6. szerinti adatai:</w:t>
      </w:r>
    </w:p>
    <w:p w14:paraId="3D117779"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7. cégbírósági nyilvántartásban szereplő jogi személy esetén cégjegyzékszám, egyéb jogi személy esetén a létrejöttéről (nyilvántartásba vételéről, bejegyzéséről) szóló határozat száma vagy nyilvántartási száma:</w:t>
      </w:r>
    </w:p>
    <w:p w14:paraId="62213D9D"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8. adószám:</w:t>
      </w:r>
    </w:p>
    <w:p w14:paraId="30459604"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7898D318" w14:textId="77777777" w:rsidR="00867256" w:rsidRPr="004E1F7C" w:rsidRDefault="00867256" w:rsidP="00867256">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9E7300A" w14:textId="77777777" w:rsidR="00867256" w:rsidRPr="004E1F7C" w:rsidRDefault="00867256" w:rsidP="00867256">
      <w:pPr>
        <w:tabs>
          <w:tab w:val="right" w:pos="9071"/>
        </w:tabs>
        <w:spacing w:after="0"/>
        <w:ind w:left="284"/>
        <w:jc w:val="both"/>
        <w:rPr>
          <w:rFonts w:ascii="Times New Roman" w:hAnsi="Times New Roman" w:cs="Times New Roman"/>
          <w:sz w:val="25"/>
          <w:szCs w:val="25"/>
        </w:rPr>
      </w:pPr>
    </w:p>
    <w:p w14:paraId="552AADE6" w14:textId="77777777" w:rsidR="00867256" w:rsidRPr="004E1F7C" w:rsidRDefault="00867256" w:rsidP="00867256">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615E2838"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439DA1C"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6A716858"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BBCE1B2"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382B2874"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 tulajdonosi érdekeltség jellegét és mértéke:</w:t>
      </w:r>
    </w:p>
    <w:p w14:paraId="6ABBCC38" w14:textId="77777777" w:rsidR="00867256" w:rsidRPr="004E1F7C" w:rsidRDefault="00867256" w:rsidP="00867256">
      <w:pPr>
        <w:tabs>
          <w:tab w:val="right" w:leader="dot" w:pos="9071"/>
        </w:tabs>
        <w:spacing w:after="0"/>
        <w:jc w:val="both"/>
        <w:rPr>
          <w:rFonts w:ascii="Times New Roman" w:hAnsi="Times New Roman"/>
          <w:sz w:val="25"/>
          <w:szCs w:val="25"/>
        </w:rPr>
      </w:pPr>
    </w:p>
    <w:p w14:paraId="419677A1" w14:textId="77777777" w:rsidR="00867256" w:rsidRPr="004E1F7C" w:rsidRDefault="00867256" w:rsidP="00867256">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44783BEC" w14:textId="77777777" w:rsidR="00867256" w:rsidRPr="004E1F7C" w:rsidRDefault="00867256" w:rsidP="00867256">
      <w:pPr>
        <w:tabs>
          <w:tab w:val="right" w:pos="9071"/>
        </w:tabs>
        <w:spacing w:after="0"/>
        <w:ind w:left="284"/>
        <w:jc w:val="both"/>
        <w:rPr>
          <w:rFonts w:ascii="Times New Roman" w:hAnsi="Times New Roman" w:cs="Times New Roman"/>
          <w:sz w:val="25"/>
          <w:szCs w:val="25"/>
        </w:rPr>
      </w:pPr>
    </w:p>
    <w:p w14:paraId="539F9DCE"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Üzleti kapcsolat esetén a szerződés típusa, tárgya és időtartama, a teljesítés módja, helye, ideje: </w:t>
      </w:r>
    </w:p>
    <w:p w14:paraId="2D75D635"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1CA77816"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5FB6ACBF" w14:textId="77777777" w:rsidR="00867256" w:rsidRPr="004E1F7C" w:rsidRDefault="00867256" w:rsidP="00867256">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Pr="004E1F7C">
        <w:rPr>
          <w:rFonts w:ascii="Times New Roman" w:hAnsi="Times New Roman" w:cs="Times New Roman"/>
          <w:b/>
          <w:sz w:val="25"/>
          <w:szCs w:val="25"/>
        </w:rPr>
        <w:tab/>
        <w:t xml:space="preserve">A tranzakció leírása: </w:t>
      </w:r>
    </w:p>
    <w:p w14:paraId="7E0E0389" w14:textId="77777777" w:rsidR="00867256" w:rsidRPr="004E1F7C" w:rsidRDefault="00867256" w:rsidP="00867256">
      <w:pPr>
        <w:spacing w:after="0"/>
        <w:ind w:right="-1"/>
        <w:jc w:val="both"/>
        <w:rPr>
          <w:rFonts w:ascii="Times New Roman" w:hAnsi="Times New Roman" w:cs="Times New Roman"/>
          <w:b/>
          <w:sz w:val="25"/>
          <w:szCs w:val="25"/>
        </w:rPr>
      </w:pPr>
    </w:p>
    <w:p w14:paraId="7AAA8B0A" w14:textId="77777777" w:rsidR="00867256" w:rsidRPr="004E1F7C" w:rsidRDefault="00867256" w:rsidP="00867256">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kötelezett, érintett számlák stb.),</w:t>
      </w:r>
    </w:p>
    <w:p w14:paraId="7BA4EA9A" w14:textId="77777777" w:rsidR="00867256" w:rsidRPr="004E1F7C" w:rsidRDefault="00867256" w:rsidP="00867256">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00C90C69" w14:textId="77777777" w:rsidR="00867256" w:rsidRPr="004E1F7C" w:rsidRDefault="00867256" w:rsidP="00867256">
      <w:pPr>
        <w:spacing w:after="0"/>
        <w:ind w:right="-1"/>
        <w:jc w:val="both"/>
        <w:rPr>
          <w:rFonts w:ascii="Times New Roman" w:hAnsi="Times New Roman" w:cs="Times New Roman"/>
          <w:b/>
          <w:bCs/>
          <w:i/>
          <w:iCs/>
          <w:sz w:val="25"/>
          <w:szCs w:val="25"/>
        </w:rPr>
      </w:pPr>
    </w:p>
    <w:p w14:paraId="3BEDD25D" w14:textId="77777777" w:rsidR="00867256" w:rsidRPr="004E1F7C" w:rsidRDefault="00867256" w:rsidP="00867256">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2DAC18CC" w14:textId="77777777" w:rsidR="00867256" w:rsidRPr="004E1F7C" w:rsidRDefault="00867256" w:rsidP="00867256">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E401556" w14:textId="77777777" w:rsidR="00867256" w:rsidRPr="004E1F7C" w:rsidRDefault="00867256" w:rsidP="00867256">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3B7F6C2B" w14:textId="77777777" w:rsidR="00867256" w:rsidRPr="004E1F7C" w:rsidRDefault="00867256" w:rsidP="00867256">
      <w:pPr>
        <w:spacing w:after="0" w:line="276" w:lineRule="auto"/>
        <w:ind w:left="570" w:hanging="585"/>
        <w:jc w:val="right"/>
        <w:rPr>
          <w:rFonts w:ascii="Times New Roman" w:hAnsi="Times New Roman" w:cs="Times New Roman"/>
          <w:b/>
        </w:rPr>
      </w:pPr>
    </w:p>
    <w:p w14:paraId="226584FD" w14:textId="77777777" w:rsidR="00867256" w:rsidRPr="004E1F7C" w:rsidRDefault="00867256" w:rsidP="00867256">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2BABAFCF" w14:textId="77777777" w:rsidR="00867256" w:rsidRPr="004E1F7C" w:rsidRDefault="00867256" w:rsidP="00867256">
      <w:pPr>
        <w:spacing w:after="20" w:line="276" w:lineRule="auto"/>
        <w:ind w:firstLine="180"/>
        <w:jc w:val="center"/>
        <w:rPr>
          <w:rFonts w:ascii="Times New Roman" w:eastAsia="Times New Roman" w:hAnsi="Times New Roman" w:cs="Times New Roman"/>
          <w:b/>
          <w:bCs/>
          <w:sz w:val="25"/>
          <w:szCs w:val="25"/>
          <w:lang w:eastAsia="hu-HU"/>
        </w:rPr>
      </w:pPr>
    </w:p>
    <w:p w14:paraId="74846021"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1568BA37"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DBC9CEE"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77DD4534"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7EB4C7B5"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785E79A4"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2. A vagyon forrására vonatkozó információk (a nyilatkozattételt megelőzően közzétett utolsó éves beszámoló adatai alapján, </w:t>
      </w:r>
      <w:proofErr w:type="spellStart"/>
      <w:r w:rsidRPr="004E1F7C">
        <w:rPr>
          <w:rFonts w:ascii="Times New Roman" w:eastAsia="Times New Roman" w:hAnsi="Times New Roman" w:cs="Times New Roman"/>
          <w:sz w:val="25"/>
          <w:szCs w:val="25"/>
          <w:lang w:eastAsia="hu-HU"/>
        </w:rPr>
        <w:t>elemenként</w:t>
      </w:r>
      <w:proofErr w:type="spellEnd"/>
      <w:r w:rsidRPr="004E1F7C">
        <w:rPr>
          <w:rFonts w:ascii="Times New Roman" w:eastAsia="Times New Roman" w:hAnsi="Times New Roman" w:cs="Times New Roman"/>
          <w:sz w:val="25"/>
          <w:szCs w:val="25"/>
          <w:lang w:eastAsia="hu-HU"/>
        </w:rPr>
        <w:t xml:space="preserve"> legalább 3 millió forint értékben, megjelölve a 3. pont alatt meghatározott nagyságrendi kategóriákat):</w:t>
      </w:r>
    </w:p>
    <w:p w14:paraId="5B6D7167"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10A45AC2"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0C3A6BE4"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849D222"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030F470F"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7C25C2B8"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4FABF67F"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131C350A"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3C2B7E60"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6B9BF620"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93E0DE1"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Pr="004E1F7C">
        <w:rPr>
          <w:rFonts w:ascii="Times New Roman" w:eastAsia="Times New Roman" w:hAnsi="Times New Roman" w:cs="Times New Roman"/>
          <w:sz w:val="25"/>
          <w:szCs w:val="25"/>
          <w:lang w:eastAsia="hu-HU"/>
        </w:rPr>
        <w:tab/>
        <w:t>3–30 millió forint</w:t>
      </w:r>
    </w:p>
    <w:p w14:paraId="3CA74C14"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Pr="004E1F7C">
        <w:rPr>
          <w:rFonts w:ascii="Times New Roman" w:eastAsia="Times New Roman" w:hAnsi="Times New Roman" w:cs="Times New Roman"/>
          <w:sz w:val="25"/>
          <w:szCs w:val="25"/>
          <w:lang w:eastAsia="hu-HU"/>
        </w:rPr>
        <w:tab/>
        <w:t>30–100 millió forint</w:t>
      </w:r>
    </w:p>
    <w:p w14:paraId="791E5ED9"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Pr="004E1F7C">
        <w:rPr>
          <w:rFonts w:ascii="Times New Roman" w:eastAsia="Times New Roman" w:hAnsi="Times New Roman" w:cs="Times New Roman"/>
          <w:sz w:val="25"/>
          <w:szCs w:val="25"/>
          <w:lang w:eastAsia="hu-HU"/>
        </w:rPr>
        <w:tab/>
        <w:t>100–300 millió forint</w:t>
      </w:r>
    </w:p>
    <w:p w14:paraId="1D29A4E5"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Pr="004E1F7C">
        <w:rPr>
          <w:rFonts w:ascii="Times New Roman" w:eastAsia="Times New Roman" w:hAnsi="Times New Roman" w:cs="Times New Roman"/>
          <w:sz w:val="25"/>
          <w:szCs w:val="25"/>
          <w:lang w:eastAsia="hu-HU"/>
        </w:rPr>
        <w:tab/>
        <w:t>300–1 000 millió forint</w:t>
      </w:r>
    </w:p>
    <w:p w14:paraId="61A7949F"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Pr="004E1F7C">
        <w:rPr>
          <w:rFonts w:ascii="Times New Roman" w:eastAsia="Times New Roman" w:hAnsi="Times New Roman" w:cs="Times New Roman"/>
          <w:sz w:val="25"/>
          <w:szCs w:val="25"/>
          <w:lang w:eastAsia="hu-HU"/>
        </w:rPr>
        <w:tab/>
        <w:t>1–5 milliárd forint</w:t>
      </w:r>
    </w:p>
    <w:p w14:paraId="74FD70C6"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Pr="004E1F7C">
        <w:rPr>
          <w:rFonts w:ascii="Times New Roman" w:eastAsia="Times New Roman" w:hAnsi="Times New Roman" w:cs="Times New Roman"/>
          <w:sz w:val="25"/>
          <w:szCs w:val="25"/>
          <w:lang w:eastAsia="hu-HU"/>
        </w:rPr>
        <w:tab/>
        <w:t>5 milliárd forint felett</w:t>
      </w:r>
    </w:p>
    <w:p w14:paraId="39DC540A"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5490E411"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4. Nyilatkozat a kötelezettségekről (a nyilatkozattételt megelő</w:t>
      </w:r>
      <w:bookmarkStart w:id="0" w:name="_GoBack"/>
      <w:bookmarkEnd w:id="0"/>
      <w:r w:rsidRPr="004E1F7C">
        <w:rPr>
          <w:rFonts w:ascii="Times New Roman" w:eastAsia="Times New Roman" w:hAnsi="Times New Roman" w:cs="Times New Roman"/>
          <w:sz w:val="25"/>
          <w:szCs w:val="25"/>
          <w:lang w:eastAsia="hu-HU"/>
        </w:rPr>
        <w:t>zően közzétett utolsó éves beszámoló adatai alapján, legalább 3 millió forint értékben, megjelölve a 3. pont alatt meghatározott nagyságrendi kategóriákat).</w:t>
      </w:r>
    </w:p>
    <w:sectPr w:rsidR="00867256" w:rsidRPr="004E1F7C"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5D708" w14:textId="77777777" w:rsidR="00B7570B" w:rsidRDefault="00B7570B" w:rsidP="00120036">
      <w:pPr>
        <w:spacing w:after="0" w:line="240" w:lineRule="auto"/>
      </w:pPr>
      <w:r>
        <w:separator/>
      </w:r>
    </w:p>
  </w:endnote>
  <w:endnote w:type="continuationSeparator" w:id="0">
    <w:p w14:paraId="746ADA4D" w14:textId="77777777" w:rsidR="00B7570B" w:rsidRDefault="00B7570B"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33060"/>
      <w:docPartObj>
        <w:docPartGallery w:val="Page Numbers (Bottom of Page)"/>
        <w:docPartUnique/>
      </w:docPartObj>
    </w:sdtPr>
    <w:sdtContent>
      <w:p w14:paraId="1C804C19" w14:textId="6BC63C43" w:rsidR="00A44D89" w:rsidRDefault="00A44D89">
        <w:pPr>
          <w:pStyle w:val="llb"/>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E0FE" w14:textId="77777777" w:rsidR="00B7570B" w:rsidRDefault="00B7570B" w:rsidP="00120036">
      <w:pPr>
        <w:spacing w:after="0" w:line="240" w:lineRule="auto"/>
      </w:pPr>
      <w:r>
        <w:separator/>
      </w:r>
    </w:p>
  </w:footnote>
  <w:footnote w:type="continuationSeparator" w:id="0">
    <w:p w14:paraId="489ECD0A" w14:textId="77777777" w:rsidR="00B7570B" w:rsidRDefault="00B7570B"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745"/>
    <w:rsid w:val="00070CB9"/>
    <w:rsid w:val="00072B03"/>
    <w:rsid w:val="00074DC7"/>
    <w:rsid w:val="00075CE7"/>
    <w:rsid w:val="00075E49"/>
    <w:rsid w:val="000762E6"/>
    <w:rsid w:val="00076374"/>
    <w:rsid w:val="0007672A"/>
    <w:rsid w:val="00077D27"/>
    <w:rsid w:val="00077F8C"/>
    <w:rsid w:val="00081D4A"/>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47F33"/>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2CB6"/>
    <w:rsid w:val="0024576E"/>
    <w:rsid w:val="00245CE4"/>
    <w:rsid w:val="00246593"/>
    <w:rsid w:val="00247993"/>
    <w:rsid w:val="00247AF4"/>
    <w:rsid w:val="00250D60"/>
    <w:rsid w:val="00251922"/>
    <w:rsid w:val="002524FB"/>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14C2"/>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A7F8A"/>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5A1"/>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D1C"/>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0924"/>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D5D53"/>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E4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25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7D2"/>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039"/>
    <w:rsid w:val="00911D33"/>
    <w:rsid w:val="009122E0"/>
    <w:rsid w:val="00915A24"/>
    <w:rsid w:val="00920F8C"/>
    <w:rsid w:val="0092258E"/>
    <w:rsid w:val="009225AC"/>
    <w:rsid w:val="00922BDF"/>
    <w:rsid w:val="009251D2"/>
    <w:rsid w:val="00925BB6"/>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57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4D89"/>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570B"/>
    <w:rsid w:val="00B7756C"/>
    <w:rsid w:val="00B77CF3"/>
    <w:rsid w:val="00B8221B"/>
    <w:rsid w:val="00B8242D"/>
    <w:rsid w:val="00B829A1"/>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0F"/>
    <w:rsid w:val="00BF0073"/>
    <w:rsid w:val="00BF08FD"/>
    <w:rsid w:val="00BF1CF9"/>
    <w:rsid w:val="00BF21EF"/>
    <w:rsid w:val="00BF2214"/>
    <w:rsid w:val="00BF3940"/>
    <w:rsid w:val="00BF4EE3"/>
    <w:rsid w:val="00BF4F99"/>
    <w:rsid w:val="00BF5BE6"/>
    <w:rsid w:val="00BF5D84"/>
    <w:rsid w:val="00BF72AF"/>
    <w:rsid w:val="00C00ECF"/>
    <w:rsid w:val="00C01AEF"/>
    <w:rsid w:val="00C01DB3"/>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1F21"/>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6A65"/>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5630"/>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68DD"/>
    <w:rsid w:val="00E9724E"/>
    <w:rsid w:val="00EA1CF6"/>
    <w:rsid w:val="00EA2259"/>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51A"/>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33"/>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A1"/>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9BFA-10D8-49EA-A1DA-37721D33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8576</Words>
  <Characters>59181</Characters>
  <Application>Microsoft Office Word</Application>
  <DocSecurity>0</DocSecurity>
  <Lines>493</Lines>
  <Paragraphs>135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Málingerné Tölgyesi Krisztina</dc:creator>
  <dc:description>v.1.22.3083.0.0#2022-09-22</dc:description>
  <dcterms:created xsi:type="dcterms:W3CDTF">2022-09-01T12:59:00Z</dcterms:created>
  <dcterms:modified xsi:type="dcterms:W3CDTF">2022-09-01T13:16:00Z</dcterms:modified>
</cp:coreProperties>
</file>